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7"/>
        <w:jc w:val="center"/>
        <w:rPr>
          <w:rFonts w:ascii="Tinos" w:hAnsi="Tinos" w:eastAsia="Tinos" w:cs="Tinos"/>
          <w:b/>
          <w:bCs/>
          <w:sz w:val="32"/>
          <w:szCs w:val="32"/>
        </w:rPr>
      </w:pPr>
      <w:r>
        <w:rPr>
          <w:rFonts w:ascii="Tinos" w:hAnsi="Tinos" w:eastAsia="Tinos" w:cs="Tinos"/>
          <w:b/>
          <w:bCs/>
          <w:sz w:val="32"/>
          <w:szCs w:val="32"/>
        </w:rPr>
        <w:t xml:space="preserve"> Предоставление с</w:t>
      </w:r>
      <w:r>
        <w:rPr>
          <w:rFonts w:ascii="Tinos" w:hAnsi="Tinos" w:eastAsia="Tinos" w:cs="Tinos"/>
          <w:b/>
          <w:sz w:val="32"/>
          <w:szCs w:val="32"/>
        </w:rPr>
        <w:t xml:space="preserve">убсидии на оплату жилого помещения и </w:t>
      </w:r>
      <w:r>
        <w:rPr>
          <w:rFonts w:ascii="Tinos" w:hAnsi="Tinos" w:eastAsia="Tinos" w:cs="Tinos"/>
          <w:b/>
          <w:bCs/>
          <w:sz w:val="32"/>
          <w:szCs w:val="32"/>
        </w:rPr>
      </w:r>
      <w:r>
        <w:rPr>
          <w:rFonts w:ascii="Tinos" w:hAnsi="Tinos" w:eastAsia="Tinos" w:cs="Tinos"/>
          <w:b/>
          <w:bCs/>
          <w:sz w:val="32"/>
          <w:szCs w:val="32"/>
        </w:rPr>
      </w:r>
    </w:p>
    <w:p>
      <w:pPr>
        <w:pStyle w:val="857"/>
        <w:jc w:val="center"/>
        <w:rPr>
          <w:rFonts w:ascii="Tinos" w:hAnsi="Tinos" w:cs="Tinos"/>
          <w:b/>
          <w:bCs/>
          <w:sz w:val="32"/>
          <w:szCs w:val="32"/>
        </w:rPr>
      </w:pPr>
      <w:r>
        <w:rPr>
          <w:rFonts w:ascii="Tinos" w:hAnsi="Tinos" w:eastAsia="Tinos" w:cs="Tinos"/>
          <w:b/>
          <w:sz w:val="32"/>
          <w:szCs w:val="32"/>
        </w:rPr>
        <w:t xml:space="preserve">коммунальных услуг </w:t>
      </w:r>
      <w:r>
        <w:rPr>
          <w:rFonts w:ascii="Tinos" w:hAnsi="Tinos" w:cs="Tinos"/>
          <w:b/>
          <w:bCs/>
          <w:sz w:val="32"/>
          <w:szCs w:val="32"/>
        </w:rPr>
      </w:r>
      <w:r>
        <w:rPr>
          <w:rFonts w:ascii="Tinos" w:hAnsi="Tinos" w:cs="Tinos"/>
          <w:b/>
          <w:bCs/>
          <w:sz w:val="32"/>
          <w:szCs w:val="32"/>
        </w:rPr>
      </w:r>
    </w:p>
    <w:p>
      <w:pPr>
        <w:pStyle w:val="857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10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Постановление Правительства РФ от 14.12.2005 № 761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«О предоставлении субсидий  на оплату жилого помещения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и 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коммунальных услуг» (далее – постановление №761);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</w:rPr>
              <w:t xml:space="preserve">Приказ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</w:rPr>
              <w:t xml:space="preserve">министерства социально-демографической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</w:rPr>
              <w:t xml:space="preserve">и семейной политики Самарской области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</w:rPr>
              <w:t xml:space="preserve">от 25.12.2012 N 756 «Об утверждении Административного регламента по предоставлению государственной услуги "Предоставление субсидий на оплату жилого помещения и коммунал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</w:rPr>
              <w:t xml:space="preserve">ьных услуг»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  <w:u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none"/>
              </w:rPr>
              <w:t xml:space="preserve">Категории граждан, 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none"/>
                <w:lang w:eastAsia="ru-RU"/>
              </w:rPr>
              <w:t xml:space="preserve">имеющие 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none"/>
                <w:lang w:eastAsia="ru-RU"/>
              </w:rPr>
              <w:t xml:space="preserve">право на получение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none"/>
                <w:lang w:eastAsia="ru-RU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none"/>
                <w:lang w:eastAsia="ru-RU"/>
              </w:rPr>
              <w:t xml:space="preserve">субсидии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  <w:u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  <w:u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sz w:val="32"/>
                <w:szCs w:val="32"/>
              </w:rPr>
            </w:pPr>
            <w:r>
              <w:rPr>
                <w:rFonts w:ascii="Tinos" w:hAnsi="Tinos" w:eastAsia="Tinos" w:cs="Tinos"/>
                <w:sz w:val="32"/>
                <w:szCs w:val="32"/>
              </w:rPr>
              <w:t xml:space="preserve">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  а)пользователи жилого помещения в государственном или муниципальном жилищном фонде;</w:t>
            </w:r>
            <w:r>
              <w:rPr>
                <w:rFonts w:ascii="Tinos" w:hAnsi="Tinos" w:cs="Tinos"/>
                <w:sz w:val="32"/>
                <w:szCs w:val="32"/>
              </w:rPr>
            </w:r>
            <w:r>
              <w:rPr>
                <w:rFonts w:ascii="Tinos" w:hAnsi="Tinos" w:cs="Tinos"/>
                <w:sz w:val="32"/>
                <w:szCs w:val="32"/>
              </w:rPr>
            </w:r>
          </w:p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sz w:val="32"/>
                <w:szCs w:val="32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б) наниматели жилого помещения по договору найма в частном жилищном фонде;</w:t>
            </w:r>
            <w:r>
              <w:rPr>
                <w:rFonts w:ascii="Tinos" w:hAnsi="Tinos" w:cs="Tinos"/>
                <w:sz w:val="32"/>
                <w:szCs w:val="32"/>
              </w:rPr>
            </w:r>
            <w:r>
              <w:rPr>
                <w:rFonts w:ascii="Tinos" w:hAnsi="Tinos" w:cs="Tinos"/>
                <w:sz w:val="32"/>
                <w:szCs w:val="32"/>
              </w:rPr>
            </w:r>
          </w:p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sz w:val="32"/>
                <w:szCs w:val="32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в) члены жилищно-строительного кооператива; </w:t>
            </w:r>
            <w:r>
              <w:rPr>
                <w:rFonts w:ascii="Tinos" w:hAnsi="Tinos" w:cs="Tinos"/>
                <w:sz w:val="32"/>
                <w:szCs w:val="32"/>
              </w:rPr>
            </w:r>
            <w:r>
              <w:rPr>
                <w:rFonts w:ascii="Tinos" w:hAnsi="Tinos" w:cs="Tinos"/>
                <w:sz w:val="32"/>
                <w:szCs w:val="32"/>
              </w:rPr>
            </w:r>
          </w:p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sz w:val="32"/>
                <w:szCs w:val="32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г) собственники жилого помещения (квартиры, жилого дома, части квартиры или части жилого дома).</w:t>
            </w:r>
            <w:r>
              <w:rPr>
                <w:rFonts w:ascii="Tinos" w:hAnsi="Tinos" w:cs="Tinos"/>
                <w:sz w:val="32"/>
                <w:szCs w:val="32"/>
              </w:rPr>
            </w:r>
            <w:r>
              <w:rPr>
                <w:rFonts w:ascii="Tinos" w:hAnsi="Tinos" w:cs="Tinos"/>
                <w:sz w:val="32"/>
                <w:szCs w:val="32"/>
              </w:rPr>
            </w:r>
          </w:p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sz w:val="32"/>
                <w:szCs w:val="32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Субсидия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предоставляется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граждан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ам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с учетом постоянно проживающих с ними членов их семей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.</w:t>
            </w:r>
            <w:r>
              <w:rPr>
                <w:rFonts w:ascii="Tinos" w:hAnsi="Tinos" w:cs="Tinos"/>
                <w:sz w:val="32"/>
                <w:szCs w:val="32"/>
              </w:rPr>
            </w:r>
            <w:r>
              <w:rPr>
                <w:rFonts w:ascii="Tinos" w:hAnsi="Tinos" w:cs="Tinos"/>
                <w:sz w:val="32"/>
                <w:szCs w:val="32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субсидии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4"/>
              <w:ind w:firstLine="547"/>
              <w:jc w:val="both"/>
              <w:spacing w:after="0" w:line="240" w:lineRule="auto"/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sz w:val="26"/>
                <w:szCs w:val="26"/>
              </w:rPr>
              <w:t xml:space="preserve">Субсидия назначается гражданам в случае, если их расходы на оплату жилого помещения и коммунальных услуг,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рассчитанные исходя из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региональных стандартов нормативной площади жилого помещения 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регионального стандарта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стоимости ЖКУ,</w:t>
            </w:r>
            <w:r>
              <w:rPr>
                <w:rFonts w:ascii="Tinos" w:hAnsi="Tinos" w:eastAsia="Tinos" w:cs="Tinos"/>
                <w:b/>
                <w:sz w:val="26"/>
                <w:szCs w:val="26"/>
              </w:rPr>
              <w:t xml:space="preserve"> превышают величину </w:t>
            </w:r>
            <w:r>
              <w:rPr>
                <w:rFonts w:ascii="Tinos" w:hAnsi="Tinos" w:eastAsia="Tinos" w:cs="Tinos"/>
                <w:b/>
                <w:sz w:val="26"/>
                <w:szCs w:val="26"/>
              </w:rPr>
              <w:t xml:space="preserve">регионального стандарта </w:t>
            </w:r>
            <w:r>
              <w:rPr>
                <w:rFonts w:ascii="Tinos" w:hAnsi="Tinos" w:eastAsia="Tinos" w:cs="Tinos"/>
                <w:b/>
                <w:sz w:val="26"/>
                <w:szCs w:val="26"/>
              </w:rPr>
              <w:t xml:space="preserve">максимально допустимой доли расходов граждан на оплату ЖКУ в совокупном доходе семьи.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ind w:firstLine="547"/>
              <w:jc w:val="both"/>
              <w:spacing w:after="0" w:line="240" w:lineRule="auto"/>
              <w:rPr>
                <w:rFonts w:ascii="Tinos" w:hAnsi="Tinos" w:cs="Tinos"/>
                <w:color w:val="000000"/>
                <w:sz w:val="26"/>
                <w:szCs w:val="26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Совокупный доход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семьи или одиноко проживающего гражданина определяется </w:t>
            </w:r>
            <w:r>
              <w:rPr>
                <w:rFonts w:ascii="Tinos" w:hAnsi="Tinos" w:eastAsia="Tinos" w:cs="Tinos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за  6 календарных месяцев, предшествовавших месяцу перед месяцем подачи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 заявления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о предоставлении субсидии. 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pStyle w:val="854"/>
              <w:ind w:firstLine="547"/>
              <w:jc w:val="both"/>
              <w:spacing w:after="0" w:line="240" w:lineRule="auto"/>
              <w:rPr>
                <w:rFonts w:ascii="Tinos" w:hAnsi="Tinos" w:cs="Tinos"/>
                <w:color w:val="000000"/>
                <w:sz w:val="32"/>
                <w:szCs w:val="32"/>
              </w:rP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Субсидия не предос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тавляется гражданам при наличии у них подтвержденной вступившим в законную силу судебным актом непогашенной задолженности по оплате ЖКУ образовавшейся за период не более чем три последних года. Данные сведения Управление получает самостоятельно из ГИС ЖКХ.</w:t>
            </w:r>
            <w:r>
              <w:rPr>
                <w:rFonts w:ascii="Tinos" w:hAnsi="Tinos" w:cs="Tinos"/>
                <w:color w:val="000000"/>
                <w:sz w:val="32"/>
                <w:szCs w:val="32"/>
              </w:rPr>
            </w:r>
            <w:r>
              <w:rPr>
                <w:rFonts w:ascii="Tinos" w:hAnsi="Tinos" w:cs="Tinos"/>
                <w:color w:val="000000"/>
                <w:sz w:val="32"/>
                <w:szCs w:val="32"/>
              </w:rPr>
            </w:r>
          </w:p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sz w:val="32"/>
                <w:szCs w:val="32"/>
                <w:highlight w:val="none"/>
              </w:rPr>
            </w:pPr>
            <w:r>
              <w:rPr>
                <w:rFonts w:ascii="Tinos" w:hAnsi="Tinos" w:eastAsia="Tinos" w:cs="Tinos"/>
                <w:b/>
                <w:color w:val="0000ff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b/>
                <w:color w:val="0000ff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Назначение субсидий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производится с учетом имеющей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ся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компенсации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расходов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по оплате жилого помещения и коммунальных услуг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.</w:t>
            </w:r>
            <w:r>
              <w:rPr>
                <w:rFonts w:ascii="Tinos" w:hAnsi="Tinos" w:cs="Tinos"/>
                <w:sz w:val="32"/>
                <w:szCs w:val="32"/>
                <w:highlight w:val="none"/>
              </w:rPr>
            </w:r>
            <w:r>
              <w:rPr>
                <w:rFonts w:ascii="Tinos" w:hAnsi="Tinos" w:cs="Tinos"/>
                <w:sz w:val="32"/>
                <w:szCs w:val="32"/>
                <w:highlight w:val="none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eastAsia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Субсидия предоставляется сроком на 6 месяцев.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b w:val="0"/>
                <w:bCs w:val="0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При подаче заявления о предоставлении субсидии и полного комплекта документов, обязанность по представлению которых возложена на заявителя в соответствии с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u w:val="none"/>
              </w:rPr>
              <w:t xml:space="preserve">П</w:t>
            </w:r>
            <w:hyperlink r:id="rId10" w:tooltip="https://docs.cntd.ru/document/901960158#8Q40M6" w:history="1">
              <w:r>
                <w:rPr>
                  <w:rStyle w:val="836"/>
                  <w:rFonts w:ascii="Times New Roman" w:hAnsi="Times New Roman" w:eastAsia="Times New Roman" w:cs="Times New Roman"/>
                  <w:color w:val="000000" w:themeColor="text1"/>
                  <w:sz w:val="26"/>
                  <w:szCs w:val="26"/>
                  <w:u w:val="none"/>
                </w:rPr>
                <w:t xml:space="preserve">еречнем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(в зависимости от сложившейся жизненной ситуации), с 1-го по 15-е число месяца субсидия предоставляется с 1-го числа текущего месяца, а при подаче заявления   и представлении документов (сведений) с 16-го числа до конца месяца - с 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1-го числа следующего месяца.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 через МФЦ,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Единый портал государственных и муниципальных услуг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color w:val="ff000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в течение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20 календарных дней со дня регистрации электронного заявления </w:t>
            </w:r>
            <w:r>
              <w:rPr>
                <w:rFonts w:ascii="Tinos" w:hAnsi="Tinos" w:cs="Tinos"/>
                <w:b w:val="0"/>
                <w:bCs w:val="0"/>
                <w:color w:val="ff000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ff000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  </w:t>
            </w:r>
            <w:r>
              <w:rPr>
                <w:rFonts w:ascii="Tinos" w:hAnsi="Tinos" w:eastAsia="Tinos" w:cs="Tinos"/>
                <w:b w:val="0"/>
                <w:bCs w:val="0"/>
                <w:spacing w:val="2"/>
                <w:sz w:val="32"/>
                <w:szCs w:val="32"/>
                <w:u w:val="none"/>
                <w:shd w:val="clear" w:color="auto" w:fill="ffffff"/>
              </w:rPr>
              <w:t xml:space="preserve">Д</w:t>
            </w:r>
            <w:r>
              <w:rPr>
                <w:rFonts w:ascii="Tinos" w:hAnsi="Tinos" w:eastAsia="Tinos" w:cs="Tinos"/>
                <w:b w:val="0"/>
                <w:bCs w:val="0"/>
                <w:spacing w:val="2"/>
                <w:sz w:val="26"/>
                <w:szCs w:val="26"/>
                <w:u w:val="none"/>
                <w:shd w:val="clear" w:color="auto" w:fill="ffffff"/>
              </w:rPr>
              <w:t xml:space="preserve">л</w:t>
            </w:r>
            <w:r>
              <w:rPr>
                <w:rFonts w:ascii="Tinos" w:hAnsi="Tinos" w:eastAsia="Tinos" w:cs="Tinos"/>
                <w:b w:val="0"/>
                <w:bCs w:val="0"/>
                <w:spacing w:val="2"/>
                <w:sz w:val="26"/>
                <w:szCs w:val="26"/>
                <w:u w:val="none"/>
                <w:shd w:val="clear" w:color="auto" w:fill="ffffff"/>
              </w:rPr>
              <w:t xml:space="preserve">я получения субсидии граждане  представляют в Управление  по месту постоянного жительства </w:t>
            </w:r>
            <w:r>
              <w:rPr>
                <w:rFonts w:ascii="Tinos" w:hAnsi="Tinos" w:eastAsia="Tinos" w:cs="Tinos"/>
                <w:b w:val="0"/>
                <w:bCs w:val="0"/>
                <w:spacing w:val="2"/>
                <w:sz w:val="26"/>
                <w:szCs w:val="26"/>
                <w:u w:val="none"/>
                <w:shd w:val="clear" w:color="auto" w:fill="ffffff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pacing w:val="2"/>
                <w:sz w:val="26"/>
                <w:szCs w:val="26"/>
                <w:u w:val="none"/>
                <w:shd w:val="clear" w:color="auto" w:fill="ffffff"/>
              </w:rPr>
              <w:t xml:space="preserve">заявление   с указанием всех членов семьи и степени родства и приложением  </w:t>
            </w:r>
            <w:r>
              <w:rPr>
                <w:rFonts w:ascii="Tinos" w:hAnsi="Tinos" w:eastAsia="Tinos" w:cs="Tinos"/>
                <w:b w:val="0"/>
                <w:bCs w:val="0"/>
                <w:spacing w:val="2"/>
                <w:sz w:val="26"/>
                <w:szCs w:val="26"/>
                <w:u w:val="none"/>
                <w:shd w:val="clear" w:color="auto" w:fill="ffffff"/>
              </w:rPr>
              <w:t xml:space="preserve">основных   документов: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62"/>
              <w:jc w:val="both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b w:val="0"/>
                <w:bCs w:val="0"/>
                <w:color w:val="000000" w:themeColor="text1"/>
                <w:spacing w:val="2"/>
                <w:sz w:val="32"/>
                <w:szCs w:val="32"/>
                <w:highlight w:val="none"/>
                <w:u w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32"/>
                <w:szCs w:val="32"/>
                <w:u w:val="none"/>
              </w:rPr>
              <w:t xml:space="preserve">  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32"/>
                <w:szCs w:val="32"/>
                <w:u w:val="none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  <w:u w:val="none"/>
              </w:rPr>
              <w:t xml:space="preserve"> *-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u w:val="none"/>
              </w:rPr>
              <w:t xml:space="preserve"> с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</w:rPr>
              <w:t xml:space="preserve">ведения о суммах, начисленных получателю субсидии для оплаты за жилое  помещение и коммунальные услуги, и сведения о суммах, уплаченных  получателем субсидии за жилое помещение и коммунальные услуги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6"/>
                <w:szCs w:val="26"/>
                <w:u w:val="none"/>
              </w:rPr>
              <w:t xml:space="preserve">;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2"/>
                <w:sz w:val="32"/>
                <w:szCs w:val="32"/>
                <w:highlight w:val="none"/>
                <w:u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2"/>
                <w:sz w:val="32"/>
                <w:szCs w:val="32"/>
                <w:highlight w:val="none"/>
                <w:u w:val="none"/>
              </w:rPr>
            </w:r>
          </w:p>
          <w:p>
            <w:pPr>
              <w:pStyle w:val="862"/>
              <w:jc w:val="both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b w:val="0"/>
                <w:bCs w:val="0"/>
                <w:color w:val="000000" w:themeColor="text1"/>
                <w:spacing w:val="2"/>
                <w:sz w:val="32"/>
                <w:szCs w:val="32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6"/>
                <w:szCs w:val="26"/>
                <w:highlight w:val="none"/>
                <w:u w:val="none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pacing w:val="2"/>
                <w:sz w:val="26"/>
                <w:szCs w:val="26"/>
                <w:highlight w:val="none"/>
                <w:u w:val="none"/>
              </w:rPr>
              <w:t xml:space="preserve"> *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6"/>
                <w:szCs w:val="26"/>
                <w:highlight w:val="none"/>
                <w:u w:val="none"/>
              </w:rPr>
              <w:t xml:space="preserve">- с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</w:rPr>
              <w:t xml:space="preserve">ведения о государственной регистрации рождения, смерти, заключения (расторжения) брака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</w:rPr>
              <w:t xml:space="preserve">в случае регистрации записи соответствующего акта компетентным органом иностранного государства;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2"/>
                <w:sz w:val="32"/>
                <w:szCs w:val="32"/>
                <w:highlight w:val="none"/>
                <w:u w:val="singl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2"/>
                <w:sz w:val="32"/>
                <w:szCs w:val="32"/>
                <w:highlight w:val="none"/>
                <w:u w:val="single"/>
              </w:rPr>
            </w:r>
          </w:p>
          <w:p>
            <w:pPr>
              <w:pStyle w:val="862"/>
              <w:jc w:val="both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b w:val="0"/>
                <w:bCs w:val="0"/>
                <w:color w:val="000000" w:themeColor="text1"/>
                <w:spacing w:val="2"/>
                <w:sz w:val="32"/>
                <w:szCs w:val="32"/>
                <w:u w:val="singl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6"/>
                <w:szCs w:val="26"/>
                <w:highlight w:val="none"/>
                <w:u w:val="none"/>
              </w:rPr>
              <w:t xml:space="preserve">        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pacing w:val="2"/>
                <w:sz w:val="26"/>
                <w:szCs w:val="26"/>
                <w:highlight w:val="none"/>
                <w:u w:val="none"/>
              </w:rPr>
              <w:t xml:space="preserve"> *-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6"/>
                <w:szCs w:val="26"/>
                <w:highlight w:val="none"/>
                <w:u w:val="none"/>
              </w:rPr>
              <w:t xml:space="preserve">  с</w:t>
            </w:r>
            <w:r>
              <w:rPr>
                <w:rFonts w:ascii="Tinos" w:hAnsi="Tinos" w:eastAsia="Tinos" w:cs="Tinos"/>
                <w:b w:val="0"/>
                <w:bCs w:val="0"/>
                <w:spacing w:val="2"/>
                <w:sz w:val="26"/>
                <w:szCs w:val="26"/>
                <w:u w:val="none"/>
              </w:rPr>
              <w:t xml:space="preserve">ведения об отдельных видах доходов </w:t>
            </w:r>
            <w:r>
              <w:rPr>
                <w:rFonts w:ascii="Tinos" w:hAnsi="Tinos" w:eastAsia="Tinos" w:cs="Tinos"/>
                <w:b w:val="0"/>
                <w:bCs w:val="0"/>
                <w:spacing w:val="2"/>
                <w:sz w:val="26"/>
                <w:szCs w:val="26"/>
              </w:rPr>
              <w:t xml:space="preserve"> заявителя и членов его семьи</w:t>
            </w:r>
            <w:r>
              <w:rPr>
                <w:rFonts w:ascii="Tinos" w:hAnsi="Tinos" w:eastAsia="Tinos" w:cs="Tinos"/>
                <w:b w:val="0"/>
                <w:bCs w:val="0"/>
                <w:spacing w:val="2"/>
                <w:sz w:val="26"/>
                <w:szCs w:val="26"/>
              </w:rPr>
              <w:t xml:space="preserve">, учитываемых при решении вопроса о предоставлении субсидии, согласно Перечню (по постановлению № 761 в зависимости от сложившейся жизненной ситуации 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</w:rPr>
              <w:t xml:space="preserve">-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</w:rPr>
              <w:t xml:space="preserve"> стипендии, алиментов, доходов военнослужащих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</w:rPr>
              <w:t xml:space="preserve"> и др.)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;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2"/>
                <w:sz w:val="32"/>
                <w:szCs w:val="32"/>
                <w:u w:val="singl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pacing w:val="2"/>
                <w:sz w:val="32"/>
                <w:szCs w:val="32"/>
                <w:u w:val="single"/>
              </w:rPr>
            </w:r>
          </w:p>
          <w:p>
            <w:pPr>
              <w:pStyle w:val="863"/>
              <w:ind w:firstLine="708"/>
              <w:jc w:val="both"/>
              <w:spacing w:before="0" w:beforeAutospacing="0" w:after="0" w:afterAutospacing="0"/>
              <w:shd w:val="clear" w:color="auto" w:fill="ffffff"/>
              <w:rPr>
                <w:rFonts w:ascii="Tinos" w:hAnsi="Tinos" w:cs="Tinos"/>
                <w:spacing w:val="2"/>
                <w:sz w:val="32"/>
                <w:szCs w:val="32"/>
              </w:rPr>
            </w:pPr>
            <w:r>
              <w:rPr>
                <w:rFonts w:ascii="Tinos" w:hAnsi="Tinos" w:eastAsia="Tinos" w:cs="Tinos"/>
                <w:b/>
                <w:bCs/>
                <w:spacing w:val="2"/>
                <w:sz w:val="26"/>
                <w:szCs w:val="26"/>
                <w:u w:val="none"/>
              </w:rPr>
              <w:t xml:space="preserve">*- 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u w:val="none"/>
              </w:rPr>
              <w:t xml:space="preserve">сведения о документах, подтверждающих правовые основания владения и пользования заявителем жилым помещением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u w:val="none"/>
              </w:rPr>
              <w:t xml:space="preserve">,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</w:rPr>
              <w:t xml:space="preserve"> в котором он зарегистрирова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</w:rPr>
              <w:t xml:space="preserve">н по месту постоянного жительства, - в случае, если заявитель является нанимателем жилого помещения по договору найма в частном жилищном фонде, членом жилищного,жилищно-строительного кооператива;</w:t>
            </w:r>
            <w:r>
              <w:rPr>
                <w:rFonts w:ascii="Tinos" w:hAnsi="Tinos" w:cs="Tinos"/>
                <w:spacing w:val="2"/>
                <w:sz w:val="32"/>
                <w:szCs w:val="32"/>
              </w:rPr>
            </w:r>
            <w:r>
              <w:rPr>
                <w:rFonts w:ascii="Tinos" w:hAnsi="Tinos" w:cs="Tinos"/>
                <w:spacing w:val="2"/>
                <w:sz w:val="32"/>
                <w:szCs w:val="32"/>
              </w:rPr>
            </w:r>
          </w:p>
          <w:p>
            <w:pPr>
              <w:pStyle w:val="682"/>
              <w:ind w:left="0" w:right="0" w:firstLine="480"/>
              <w:jc w:val="both"/>
              <w:spacing w:before="0" w:after="240" w:line="240" w:lineRule="auto"/>
              <w:shd w:val="clear" w:color="ffffff" w:fill="ffffff"/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*-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р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еквизиты счета получателя выплаты, открытого в кредитной организации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(при условии выбора способа получения выплаты через кредитную организацию)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.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 учетом выбора гражданином: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организации, или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через отделения почтовой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связи по месту жительства  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7, 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4"/>
    <w:next w:val="854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4"/>
    <w:next w:val="854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link w:val="704"/>
    <w:uiPriority w:val="99"/>
  </w:style>
  <w:style w:type="paragraph" w:styleId="706">
    <w:name w:val="Footer"/>
    <w:basedOn w:val="854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link w:val="706"/>
    <w:uiPriority w:val="99"/>
  </w:style>
  <w:style w:type="paragraph" w:styleId="708">
    <w:name w:val="Caption"/>
    <w:basedOn w:val="854"/>
    <w:next w:val="854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basedOn w:val="854"/>
    <w:uiPriority w:val="1"/>
    <w:qFormat/>
    <w:pPr>
      <w:spacing w:after="0" w:line="240" w:lineRule="auto"/>
    </w:pPr>
  </w:style>
  <w:style w:type="paragraph" w:styleId="858">
    <w:name w:val="List Paragraph"/>
    <w:basedOn w:val="854"/>
    <w:uiPriority w:val="34"/>
    <w:qFormat/>
    <w:pPr>
      <w:contextualSpacing/>
      <w:ind w:left="720"/>
    </w:pPr>
  </w:style>
  <w:style w:type="character" w:styleId="859" w:default="1">
    <w:name w:val="Default Paragraph Font"/>
    <w:uiPriority w:val="1"/>
    <w:semiHidden/>
    <w:unhideWhenUsed/>
  </w:style>
  <w:style w:type="paragraph" w:styleId="86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текстовая ссылка"/>
    <w:basedOn w:val="834"/>
    <w:next w:val="839"/>
    <w:link w:val="832"/>
    <w:rPr>
      <w:rFonts w:cs="Times New Roman"/>
      <w:color w:val="106bbe"/>
    </w:rPr>
  </w:style>
  <w:style w:type="paragraph" w:styleId="862" w:customStyle="1">
    <w:name w:val="Заголовок 3"/>
    <w:basedOn w:val="832"/>
    <w:next w:val="833"/>
    <w:link w:val="832"/>
    <w:qFormat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7"/>
      <w:szCs w:val="27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3" w:customStyle="1">
    <w:name w:val="formattext topleveltext"/>
    <w:basedOn w:val="832"/>
    <w:next w:val="842"/>
    <w:link w:val="832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docs.cntd.ru/document/901960158#8Q40M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15</cp:revision>
  <dcterms:modified xsi:type="dcterms:W3CDTF">2026-02-03T12:09:22Z</dcterms:modified>
</cp:coreProperties>
</file>