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Оказание 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государственной социальной помощи на основании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863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социального контракта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2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842"/>
        <w:gridCol w:w="9037"/>
      </w:tblGrid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pStyle w:val="863"/>
              <w:ind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Постановл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е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ние Правительства РФ от 16.11.2023 № 1931 «Об оказании субъектам РФ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ФЗ «О государственной социальной помощи»;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spacing w:after="0" w:afterAutospacing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Закон Самарской области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от 06.05.2000 г. №16-ГД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«О социальной помощи в Сама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ской области»; </w:t>
            </w:r>
            <w:r>
              <w:rPr>
                <w:rFonts w:ascii="Tinos" w:hAnsi="Tinos" w:eastAsia="Tinos" w:cs="Tinos"/>
              </w:rPr>
            </w:r>
          </w:p>
          <w:p>
            <w:pPr>
              <w:pStyle w:val="863"/>
              <w:ind w:firstLine="36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Приказ министерства гуманитарного и социального развития Самарской области от 31.01.2006 № 7 «Об оказании социальной помощи малоимущим семьям и малоимущим одиноко проживающим гражданам Самарской области»;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3"/>
              <w:ind w:firstLine="36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Приказ министерства социально-демографической и семейной политики Самарской области от 22.07.2024 № 517 «Об утверждении Административного регламента «Оказание государственной социальной помощи на основании социального контракта»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Общие условия получения СК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pStyle w:val="856"/>
              <w:contextualSpacing/>
              <w:ind w:firstLine="0"/>
              <w:jc w:val="both"/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white"/>
              </w:rPr>
              <w:t xml:space="preserve">      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Право на государственную социальную помощь на основании СК возникает в случае, если размер среднедушевого дохода семьи, дохода одиноко проживающего гражданина 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по независящим от них причинам ниже величины прожиточного минимума на душу населения, установленного в Самарской области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-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16669 руб.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В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 состав семьи  при расчете среднедушевого дохода семьи, включаются заявитель, его суп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уг (супруга), его несовершеннолетние дети, дети, находящиеся под его опекой (попечительством), и его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  <w:t xml:space="preserve">шего образования по очной форме обучения (за исключением обучающихся по дополнительным образовательным программам).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863"/>
              <w:jc w:val="center"/>
              <w:spacing w:line="240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Категории получателей: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pStyle w:val="863"/>
              <w:jc w:val="both"/>
              <w:spacing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    -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семьи с детьм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3"/>
              <w:jc w:val="both"/>
              <w:spacing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семьи с неработающими пенс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ионерами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инвалидами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лицами предпенсионного возраста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3"/>
              <w:jc w:val="both"/>
              <w:spacing w:line="240" w:lineRule="auto"/>
              <w:rPr>
                <w:rFonts w:ascii="Tinos" w:hAnsi="Tinos" w:cs="Tinos"/>
                <w:color w:val="ff000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одиноко проживающие пенсионеры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инвалиды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 лица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предпенсион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ного 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озраст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</w:r>
            <w:r>
              <w:rPr>
                <w:rFonts w:ascii="Tinos" w:hAnsi="Tinos" w:cs="Tinos"/>
                <w:color w:val="ff0000"/>
                <w:sz w:val="24"/>
                <w:szCs w:val="24"/>
              </w:rPr>
            </w:r>
          </w:p>
          <w:p>
            <w:pPr>
              <w:pStyle w:val="863"/>
              <w:jc w:val="both"/>
              <w:spacing w:line="240" w:lineRule="auto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-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тр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удоспособные граждане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64"/>
              <w:jc w:val="both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     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приоритетном порядке право на оказание государственной социальной  помощи на основании СК предоставляется семьям,  имеющим трех и более детей (включая рожденных (усыновленных), приемных и  (или) находящихся под опекой (попечительством)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возрасте до  восемнадцати лет и (или) двадцати трех лет при условии их (его) обучения  в организации, осуществляющей образовательную деятельность, по очной  форме обучения.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  </w:t>
            </w:r>
            <w:r>
              <w:rPr>
                <w:rFonts w:ascii="Tinos" w:hAnsi="Tinos" w:cs="Tinos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rFonts w:ascii="Tinos" w:hAnsi="Tinos" w:cs="Tinos"/>
                <w:b/>
                <w:bCs/>
                <w:i/>
                <w:iCs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i/>
                <w:iCs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i/>
                <w:iCs/>
                <w:sz w:val="24"/>
                <w:szCs w:val="24"/>
                <w:u w:val="none"/>
              </w:rPr>
              <w:t xml:space="preserve">СК может быть заключен на выполнение одного из мероприятий:</w:t>
            </w:r>
            <w:r>
              <w:rPr>
                <w:rFonts w:ascii="Tinos" w:hAnsi="Tinos" w:eastAsia="Tinos" w:cs="Tinos"/>
                <w:b/>
                <w:bCs/>
                <w:i/>
                <w:iCs/>
                <w:sz w:val="24"/>
                <w:szCs w:val="24"/>
                <w:highlight w:val="none"/>
                <w:u w:val="none"/>
              </w:rPr>
            </w:r>
            <w:r>
              <w:rPr>
                <w:rFonts w:ascii="Tinos" w:hAnsi="Tinos" w:cs="Tinos"/>
                <w:b/>
                <w:bCs/>
                <w:i/>
                <w:iCs/>
                <w:sz w:val="24"/>
                <w:szCs w:val="24"/>
                <w:highlight w:val="none"/>
                <w:u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СК на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Поиск работы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64"/>
              <w:jc w:val="center"/>
              <w:spacing w:before="0" w:beforeAutospacing="0" w:after="0" w:afterAutospacing="0"/>
              <w:rPr>
                <w:b/>
                <w:bCs/>
                <w:color w:val="000000"/>
                <w:highlight w:val="none"/>
                <w:u w:val="none"/>
              </w:rPr>
            </w:pPr>
            <w:r>
              <w:rPr>
                <w:b/>
                <w:bCs/>
                <w:color w:val="000000"/>
                <w:highlight w:val="none"/>
                <w:u w:val="none"/>
              </w:rPr>
              <w:t xml:space="preserve">Поиск работы</w:t>
            </w:r>
            <w:r>
              <w:rPr>
                <w:b/>
                <w:bCs/>
                <w:color w:val="000000"/>
                <w:highlight w:val="none"/>
                <w:u w:val="none"/>
              </w:rPr>
            </w:r>
            <w:r>
              <w:rPr>
                <w:b/>
                <w:bCs/>
                <w:color w:val="000000"/>
                <w:highlight w:val="none"/>
                <w:u w:val="none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color w:val="000000"/>
                <w:highlight w:val="none"/>
                <w:u w:val="single"/>
              </w:rPr>
            </w:pPr>
            <w:r>
              <w:rPr>
                <w:color w:val="000000"/>
                <w:u w:val="single"/>
              </w:rPr>
              <w:t xml:space="preserve">Размер выплаты:</w:t>
            </w:r>
            <w:r>
              <w:rPr>
                <w:color w:val="000000"/>
                <w:highlight w:val="none"/>
                <w:u w:val="single"/>
              </w:rPr>
            </w:r>
            <w:r>
              <w:rPr>
                <w:color w:val="000000"/>
                <w:highlight w:val="none"/>
                <w:u w:val="single"/>
              </w:rPr>
            </w:r>
          </w:p>
          <w:p>
            <w:pPr>
              <w:pStyle w:val="864"/>
              <w:jc w:val="both"/>
              <w:spacing w:before="0" w:beforeAutospacing="0" w:after="0" w:afterAutospacing="0"/>
            </w:pPr>
            <w:r>
              <w:rPr>
                <w:color w:val="000000"/>
              </w:rPr>
              <w:t xml:space="preserve">18169 руб.единовременно при заключении СК</w:t>
            </w:r>
            <w:r>
              <w:rPr>
                <w:color w:val="000000"/>
              </w:rPr>
              <w:t xml:space="preserve">;</w:t>
            </w:r>
            <w:r/>
          </w:p>
          <w:p>
            <w:pPr>
              <w:pStyle w:val="864"/>
              <w:jc w:val="both"/>
              <w:spacing w:before="0" w:beforeAutospacing="0" w:after="0" w:afterAutospacing="0"/>
            </w:pPr>
            <w:r>
              <w:rPr>
                <w:color w:val="000000"/>
              </w:rPr>
              <w:t xml:space="preserve">18169 руб. ежемесячно</w:t>
            </w:r>
            <w:r>
              <w:rPr>
                <w:color w:val="000000"/>
              </w:rPr>
              <w:t xml:space="preserve">  (не более 3-х месяцев), при подтверждении факта</w:t>
            </w:r>
            <w:r>
              <w:rPr>
                <w:color w:val="000000"/>
              </w:rPr>
              <w:t xml:space="preserve"> трудоустройства;</w:t>
            </w:r>
            <w:r>
              <w:rPr>
                <w:color w:val="000000"/>
              </w:rPr>
              <w:t xml:space="preserve">  </w:t>
            </w:r>
            <w:r/>
          </w:p>
          <w:p>
            <w:pPr>
              <w:pStyle w:val="864"/>
              <w:jc w:val="both"/>
              <w:spacing w:before="0" w:beforeAutospacing="0" w:after="0" w:afterAutospacing="0"/>
            </w:pP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о 30 000 руб.  единовременно на обучение;</w:t>
            </w:r>
            <w:r/>
          </w:p>
          <w:p>
            <w:pPr>
              <w:pStyle w:val="864"/>
              <w:jc w:val="both"/>
              <w:spacing w:before="0" w:beforeAutospacing="0" w:after="0" w:afterAutospacing="0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</w:rPr>
              <w:t xml:space="preserve">9084,50 руб.на период обучения (</w:t>
            </w:r>
            <w:r>
              <w:rPr>
                <w:color w:val="000000"/>
                <w:sz w:val="20"/>
                <w:szCs w:val="20"/>
              </w:rPr>
              <w:t xml:space="preserve">не более 3 мес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>
              <w:rPr>
                <w:color w:val="000000"/>
                <w:sz w:val="20"/>
                <w:szCs w:val="20"/>
              </w:rPr>
              <w:t xml:space="preserve">)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-180" w:firstLine="180"/>
              <w:jc w:val="center"/>
              <w:spacing w:after="0" w:line="240" w:lineRule="auto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Условия: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num" w:pos="426" w:leader="none"/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 Постановка на учет в органах занятости населения в кач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естве безработного или ищущего работу.</w:t>
            </w:r>
            <w:r/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 Регистрация в единой цифровой платформе  «Работа в Рос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сии»</w:t>
            </w:r>
            <w: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* Осуществлять трудовую деятельность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в период  действия СК и не менее чем в течение 12 мес. со дня окончания срока действия СК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.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highlight w:val="none"/>
              </w:rPr>
              <w:t xml:space="preserve">*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Предоставлять документы (сведения), необходимые для контроля за выполнением обязательств по СК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3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СК на поиск работы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с одним и тем же гражданином   заключается не чаще одного раза в год со дня окончания срока действия предыдущего СК.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СК на ИП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64"/>
              <w:ind w:left="0" w:firstLine="0"/>
              <w:jc w:val="center"/>
              <w:spacing w:before="0" w:beforeAutospacing="0" w:after="0" w:afterAutospacing="0"/>
              <w:rPr>
                <w:b/>
                <w:bCs/>
                <w:i/>
                <w:sz w:val="26"/>
                <w:szCs w:val="26"/>
                <w:highlight w:val="none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ИП-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осуществление индивидуальной 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 предпринимательской де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ятельности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/>
                <w:bCs/>
                <w:i/>
                <w:sz w:val="26"/>
                <w:szCs w:val="26"/>
                <w:highlight w:val="none"/>
              </w:rPr>
            </w:r>
            <w:r>
              <w:rPr>
                <w:b/>
                <w:bCs/>
                <w:i/>
                <w:sz w:val="26"/>
                <w:szCs w:val="26"/>
                <w:highlight w:val="none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</w:pPr>
            <w:r>
              <w:rPr>
                <w:color w:val="000000"/>
                <w:u w:val="single"/>
              </w:rPr>
              <w:t xml:space="preserve">Размер выплаты:</w:t>
            </w:r>
            <w:r/>
          </w:p>
          <w:p>
            <w:pPr>
              <w:pStyle w:val="864"/>
              <w:jc w:val="center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Не более 350000 руб. единовременно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До 30 000 руб. единовременно на обучение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highlight w:val="none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СК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заключается не более чем на 12 месяцев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Условия: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suppressLineNumbers w:val="0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 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Регистрация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в качестве ИП или самозанятого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suppressLineNumbers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  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аличие бизнес-плана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* Прохождение тестирования для определения уровня предпринимательских компетенций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* Приобрести основные средства и материальные запасы, необходимые для осуществления ИП деятельности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*  Осуществлять  ИП деятельность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в период срока действия СК и не менее чем в течение 12 месяцев со дня окончания срока действия СК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.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 Предоставлять документы (сведения), необходимые для контроля за выполнением обязательств по СК</w:t>
            </w:r>
            <w:r>
              <w:rPr>
                <w:rFonts w:ascii="Tinos" w:hAnsi="Tinos" w:cs="Tinos"/>
                <w:sz w:val="24"/>
                <w:szCs w:val="24"/>
              </w:rPr>
              <w:t xml:space="preserve"> и мероприятий ПСА.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СК на ЛПХ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64"/>
              <w:ind w:left="0" w:firstLine="0"/>
              <w:jc w:val="center"/>
              <w:spacing w:before="0" w:beforeAutospacing="0" w:after="0" w:afterAutospacing="0"/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ЛПХ - по ведению личного подсобного хозяйств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а</w:t>
            </w:r>
            <w:r/>
          </w:p>
          <w:p>
            <w:pPr>
              <w:pStyle w:val="864"/>
              <w:jc w:val="center"/>
              <w:spacing w:before="0" w:beforeAutospacing="0" w:after="0" w:afterAutospacing="0"/>
            </w:pPr>
            <w:r>
              <w:rPr>
                <w:color w:val="000000"/>
                <w:u w:val="single"/>
              </w:rPr>
              <w:t xml:space="preserve">Размер выплаты:</w:t>
            </w:r>
            <w:r/>
          </w:p>
          <w:p>
            <w:pPr>
              <w:pStyle w:val="864"/>
              <w:jc w:val="center"/>
              <w:spacing w:before="0" w:beforeAutospacing="0" w:after="0" w:afterAutospacing="0"/>
            </w:pPr>
            <w:r>
              <w:rPr>
                <w:color w:val="000000"/>
              </w:rPr>
              <w:t xml:space="preserve">Не более 200 000 руб. единовременно;</w:t>
            </w:r>
            <w:r>
              <w:rPr>
                <w:color w:val="000000"/>
                <w:highlight w:val="none"/>
              </w:rPr>
            </w:r>
            <w:r/>
          </w:p>
          <w:p>
            <w:pPr>
              <w:pStyle w:val="864"/>
              <w:ind w:left="0" w:firstLine="0"/>
              <w:jc w:val="center"/>
              <w:spacing w:before="0" w:beforeAutospacing="0" w:after="0" w:afterAutospacing="0"/>
              <w:rPr>
                <w:rFonts w:ascii="Times New Roman" w:hAnsi="Times New Roman"/>
                <w:iCs/>
                <w:sz w:val="24"/>
                <w:szCs w:val="24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СК заключается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более чем на 12 месяцев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i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iCs/>
                <w:sz w:val="24"/>
                <w:szCs w:val="24"/>
                <w:highlight w:val="none"/>
              </w:rPr>
            </w:r>
          </w:p>
          <w:p>
            <w:pPr>
              <w:pStyle w:val="864"/>
              <w:ind w:left="0" w:firstLine="0"/>
              <w:jc w:val="center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  <w:t xml:space="preserve">Условия: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num" w:pos="0" w:leader="none"/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   Регистрация в качестве самозанятого.</w:t>
            </w:r>
            <w:r/>
          </w:p>
          <w:p>
            <w:pPr>
              <w:pStyle w:val="856"/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* Наличие земельного участка либо право пользования земельным участком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оответствующ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его назначения, на котором планируется ведение личного подсобного хозяйства.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  <w:t xml:space="preserve">*  Наличие сметы расходов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  <w:t xml:space="preserve">.</w:t>
            </w:r>
            <w:r/>
          </w:p>
          <w:p>
            <w:pPr>
              <w:contextualSpacing/>
              <w:ind w:left="0" w:firstLine="0"/>
              <w:jc w:val="both"/>
              <w:spacing w:after="0" w:line="240" w:lineRule="auto"/>
              <w:tabs>
                <w:tab w:val="clear" w:pos="720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  <w:t xml:space="preserve">* 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Прохождение тестирования для определения уровня предпринимательских компетенций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  <w:t xml:space="preserve">.</w:t>
            </w:r>
            <w:r/>
          </w:p>
          <w:p>
            <w:pPr>
              <w:pStyle w:val="863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Приобрести  товары, основные средства и сельскохозяйственную продукцию  необходимые для ведения ЛПХ.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pStyle w:val="863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*Осуществлять реализацию произведенной сельскохозяйственной продукции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pStyle w:val="863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* Вести ЛПХ  в период срока действия СК и не менее чем в течение 12 месяцев со дня окончания срока действия СК.</w:t>
            </w:r>
            <w:r/>
          </w:p>
          <w:p>
            <w:pPr>
              <w:pStyle w:val="863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*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Предоставлять документы (сведения), необходимые для контроля за выполнением обязательств по 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sz w:val="24"/>
                <w:szCs w:val="24"/>
              </w:rPr>
              <w:t xml:space="preserve">и мероприятий ПСА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b w:val="0"/>
                <w:bCs w:val="0"/>
                <w:i w:val="0"/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СК на ТЖС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56"/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Мероприятия, направле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нные на преодоление гражданином </w:t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r>
          </w:p>
          <w:p>
            <w:p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трудной жизненной ситуации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- ТЖС</w:t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highlight w:val="none"/>
                <w:lang w:eastAsia="ru-RU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u w:val="single"/>
              </w:rPr>
            </w:pPr>
            <w:r>
              <w:rPr>
                <w:color w:val="000000"/>
                <w:highlight w:val="none"/>
                <w:u w:val="single"/>
              </w:rPr>
              <w:t xml:space="preserve">Максимальный размер выплаты  </w:t>
            </w:r>
            <w:r>
              <w:rPr>
                <w:color w:val="000000"/>
                <w:highlight w:val="none"/>
                <w:u w:val="single"/>
              </w:rPr>
            </w:r>
            <w:r>
              <w:rPr>
                <w:u w:val="single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18169 рублей * 6 месяцев</w:t>
            </w:r>
            <w:r>
              <w:rPr>
                <w:color w:val="000000"/>
                <w:highlight w:val="none"/>
              </w:rPr>
            </w:r>
          </w:p>
          <w:p>
            <w:pPr>
              <w:pStyle w:val="86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СК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заключается не более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чем на 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месяцев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6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Перечень  типовых трудных жизненных ситуаций  утвержден вышеназванным приказом от 31.01.2006 № 7.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64"/>
              <w:jc w:val="center"/>
              <w:spacing w:before="0" w:beforeAutospacing="0" w:after="0" w:afterAutospacing="0"/>
              <w:rPr>
                <w:b/>
                <w:bCs/>
                <w:u w:val="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none"/>
              </w:rPr>
              <w:t xml:space="preserve">  </w:t>
            </w:r>
            <w:r>
              <w:rPr>
                <w:b/>
                <w:bCs/>
                <w:color w:val="000000"/>
                <w:u w:val="none"/>
              </w:rPr>
              <w:t xml:space="preserve">Условия:</w:t>
            </w:r>
            <w:r>
              <w:rPr>
                <w:b/>
                <w:bCs/>
                <w:u w:val="none"/>
              </w:rPr>
            </w:r>
            <w:r>
              <w:rPr>
                <w:b/>
                <w:bCs/>
                <w:u w:val="none"/>
              </w:rPr>
            </w:r>
          </w:p>
          <w:p>
            <w:pPr>
              <w:pStyle w:val="863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* Выполнять мероприятия, предусмотренные СК и ПСА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63"/>
              <w:jc w:val="both"/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* С целью удовлетворения потребностей приобрести необходимые товары в зависимости от трудной жизненной ситуации.</w:t>
            </w:r>
            <w:r/>
          </w:p>
          <w:p>
            <w:pPr>
              <w:pStyle w:val="863"/>
              <w:jc w:val="both"/>
              <w:rPr>
                <w:rFonts w:ascii="Tinos" w:hAnsi="Tinos" w:cs="Tinos"/>
                <w:sz w:val="24"/>
                <w:szCs w:val="24"/>
              </w:rPr>
            </w:pPr>
            <w:r/>
            <w:bookmarkStart w:id="0" w:name="undefined"/>
            <w:r/>
            <w:bookmarkEnd w:id="0"/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*Предоставлять документы (сведения), необходимые для контроля за выполнением обязательств по СК</w:t>
            </w:r>
            <w:r>
              <w:rPr>
                <w:rFonts w:ascii="Tinos" w:hAnsi="Tinos" w:cs="Tinos"/>
                <w:sz w:val="24"/>
                <w:szCs w:val="24"/>
              </w:rPr>
              <w:t xml:space="preserve"> и мероприятий ПСА.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3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       СК на преодоление ТЖС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 с одним и тем же гражданином (семьей) заключается не чаще одного раза в год со дня окончания срока действия предыдущего СК.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0 рабочих дней со дня регистрации заявления, срок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продлевается на 20 рабочих дней в случае непоступления документов  (сведений), запрашиваемых в рамках межведомственного взаимодействия, необходимостью проведения дополнительной проверки.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  <w:style w:type="paragraph" w:styleId="86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3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64" w:customStyle="1">
    <w:name w:val="Обычный (веб)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22</cp:revision>
  <dcterms:modified xsi:type="dcterms:W3CDTF">2025-02-10T12:40:52Z</dcterms:modified>
</cp:coreProperties>
</file>