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nos" w:hAnsi="Tinos" w:cs="Tinos"/>
          <w:b/>
          <w:bCs/>
          <w:sz w:val="32"/>
          <w:szCs w:val="32"/>
          <w:highlight w:val="none"/>
        </w:rPr>
      </w:pPr>
      <w:r>
        <w:rPr>
          <w:rFonts w:ascii="Tinos" w:hAnsi="Tinos" w:cs="Tinos"/>
          <w:b/>
          <w:bCs/>
          <w:sz w:val="32"/>
          <w:szCs w:val="32"/>
        </w:rPr>
        <w:t xml:space="preserve">Ежемесячная доплата за ребенком-инвалидом</w:t>
      </w:r>
      <w:r>
        <w:rPr>
          <w:rFonts w:ascii="Tinos" w:hAnsi="Tinos" w:cs="Tinos"/>
          <w:b/>
          <w:bCs/>
          <w:sz w:val="32"/>
          <w:szCs w:val="32"/>
          <w:highlight w:val="none"/>
        </w:rPr>
      </w:r>
      <w:r>
        <w:rPr>
          <w:rFonts w:ascii="Tinos" w:hAnsi="Tinos" w:cs="Tinos"/>
          <w:b/>
          <w:bCs/>
          <w:sz w:val="32"/>
          <w:szCs w:val="32"/>
          <w:highlight w:val="none"/>
        </w:rPr>
      </w:r>
    </w:p>
    <w:tbl>
      <w:tblPr>
        <w:tblStyle w:val="710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 Закон Самарской области от 02.07.2004 № 122-ГД «О государственной поддержке граждан, имеющих детей»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/>
                <w:sz w:val="26"/>
                <w:szCs w:val="26"/>
                <w:highlight w:val="none"/>
              </w:rPr>
              <w:t xml:space="preserve">    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Действие настоящего Закона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распространяется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на граждан РФ, иностранных граждан и лиц без гражданства, имеющих место  жительства или пребывания на территории Самарской области.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nos" w:hAnsi="Tinos" w:cs="Tinos"/>
                <w:sz w:val="26"/>
                <w:szCs w:val="26"/>
                <w:u w:val="single"/>
              </w:rP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Действие настоящего Закона н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  <w:u w:val="single"/>
              </w:rPr>
              <w:t xml:space="preserve">е распространяется:</w:t>
            </w:r>
            <w:r>
              <w:rPr>
                <w:rFonts w:ascii="Tinos" w:hAnsi="Tinos" w:cs="Tinos"/>
                <w:sz w:val="26"/>
                <w:szCs w:val="26"/>
                <w:u w:val="single"/>
              </w:rPr>
            </w:r>
            <w:r>
              <w:rPr>
                <w:rFonts w:ascii="Tinos" w:hAnsi="Tinos" w:cs="Tinos"/>
                <w:sz w:val="26"/>
                <w:szCs w:val="26"/>
                <w:u w:val="single"/>
              </w:rPr>
            </w:r>
          </w:p>
          <w:p>
            <w:pPr>
              <w:pStyle w:val="857"/>
              <w:numPr>
                <w:ilvl w:val="0"/>
                <w:numId w:val="7"/>
              </w:numPr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на граждан РФ, иностранных граждан и лиц без гражданства, дети которых находятся на полном государственном обеспечении;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857"/>
              <w:numPr>
                <w:ilvl w:val="0"/>
                <w:numId w:val="7"/>
              </w:numPr>
              <w:jc w:val="both"/>
              <w:rPr>
                <w:rFonts w:ascii="Tinos" w:hAnsi="Tinos" w:eastAsia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на граждан РФ, иностранных граждан и лиц без  гражданства, лишенных родительских прав либо родительские права которых  ограничены по решению суда.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  <w:p>
            <w:pPr>
              <w:pStyle w:val="857"/>
              <w:ind w:left="0" w:firstLine="0"/>
              <w:jc w:val="both"/>
              <w:rPr>
                <w:rFonts w:ascii="Tinos" w:hAnsi="Tinos" w:eastAsia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Размер доплаты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60"/>
              <w:ind w:firstLine="540"/>
              <w:jc w:val="center"/>
              <w:spacing w:before="0" w:beforeAutospacing="0"/>
              <w:rPr>
                <w:rFonts w:ascii="Tinos" w:hAnsi="Tinos" w:cs="Tinos"/>
                <w:b/>
                <w:bCs/>
                <w:sz w:val="28"/>
                <w:szCs w:val="28"/>
                <w:u w:val="none"/>
              </w:rPr>
            </w:pP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Размер доплаты  составляет  1000 рублей. </w:t>
            </w:r>
            <w:r>
              <w:rPr>
                <w:rFonts w:ascii="Tinos" w:hAnsi="Tinos" w:cs="Tinos"/>
                <w:b/>
                <w:bCs/>
                <w:sz w:val="28"/>
                <w:szCs w:val="28"/>
                <w:u w:val="none"/>
              </w:rPr>
            </w:r>
            <w:r>
              <w:rPr>
                <w:rFonts w:ascii="Tinos" w:hAnsi="Tinos" w:cs="Tinos"/>
                <w:b/>
                <w:bCs/>
                <w:sz w:val="28"/>
                <w:szCs w:val="28"/>
                <w:u w:val="none"/>
              </w:rPr>
            </w:r>
          </w:p>
          <w:p>
            <w:pPr>
              <w:jc w:val="center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доплаты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sz w:val="26"/>
                <w:szCs w:val="26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 xml:space="preserve">Право на ежемесячную доплату по уходу за ребенком-инвалидом имеет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неработающий трудоспособный родитель, осуществляющий уход за ребенком-инвалидом в возрасте до 18 лет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которому установлена ежемесячная выплата в соответствии с </w:t>
            </w:r>
            <w:hyperlink r:id="rId10" w:tooltip="https://docs.cntd.ru/document/499003583#7D20K3" w:history="1">
              <w:r>
                <w:rPr>
                  <w:rStyle w:val="836"/>
                  <w:rFonts w:ascii="Times New Roman" w:hAnsi="Times New Roman" w:eastAsia="Times New Roman" w:cs="Times New Roman"/>
                  <w:b/>
                  <w:bCs/>
                  <w:color w:val="000000" w:themeColor="text1"/>
                  <w:sz w:val="26"/>
                  <w:szCs w:val="26"/>
                  <w:u w:val="single"/>
                </w:rPr>
                <w:t xml:space="preserve">Указом Президента Российской Федерации от 26 февраля 2013 года N 175 </w:t>
              </w:r>
              <w:r>
                <w:rPr>
                  <w:rStyle w:val="836"/>
                  <w:rFonts w:ascii="Times New Roman" w:hAnsi="Times New Roman" w:eastAsia="Times New Roman" w:cs="Times New Roman"/>
                  <w:color w:val="000000" w:themeColor="text1"/>
                  <w:sz w:val="26"/>
                  <w:szCs w:val="26"/>
                  <w:u w:val="single"/>
                </w:rPr>
                <w:t xml:space="preserve">"О ежемесячных выплатах лицам, осуществляющим уход за детьми-инвалидами и инвалидами с детства I группы"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 xml:space="preserve">, в семьях со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среднедушевым доходом, размер которого не превышает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 xml:space="preserve">величины прожиточного минимума в расчете на душу населения, установленной Правительством Самарской области на дату обращения за назначением   доплаты -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16669 руб.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  <w:highlight w:val="none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 xml:space="preserve">Ежемесячная доплата по уходу за ребенком-инвалидом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назначается с месяца обращения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 xml:space="preserve">(но не ранее дня возникновения права)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на период получения ежемесячной выплаты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 xml:space="preserve"> в соответствии с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u w:val="none"/>
              </w:rPr>
              <w:t xml:space="preserve"> </w:t>
            </w:r>
            <w:hyperlink r:id="rId11" w:tooltip="https://docs.cntd.ru/document/499003583#7D20K3" w:history="1">
              <w:r>
                <w:rPr>
                  <w:rStyle w:val="836"/>
                  <w:rFonts w:ascii="Times New Roman" w:hAnsi="Times New Roman" w:eastAsia="Times New Roman" w:cs="Times New Roman"/>
                  <w:color w:val="000000" w:themeColor="text1"/>
                  <w:sz w:val="26"/>
                  <w:szCs w:val="26"/>
                  <w:u w:val="none"/>
                </w:rPr>
                <w:t xml:space="preserve">Указом Президента РФ от 26.02.2013 N 175,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 xml:space="preserve">но не более чем по месяц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  <w:t xml:space="preserve">исполнения ребенку-инвалиду 18 лет.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</w:rPr>
            </w:r>
          </w:p>
          <w:p>
            <w:pPr>
              <w:jc w:val="both"/>
              <w:rPr>
                <w:rFonts w:ascii="Tinos" w:hAnsi="Tinos" w:cs="Tinos"/>
                <w:b/>
                <w:bCs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none"/>
              </w:rPr>
              <w:t xml:space="preserve">     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Получатель ежемесячной доплаты по уходу за ребенком-инвалидом обязан в течение 10 дней сообщить   органу, осуществляющему социальную поддержку населения, по месту жительства (пребывания) о наступлении обстоятельств, влекущих пр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екращение ежемесячной выплаты в соответствии с </w:t>
            </w:r>
            <w:hyperlink r:id="rId12" w:tooltip="https://docs.cntd.ru/document/499003583#7D20K3" w:history="1">
              <w:r>
                <w:rPr>
                  <w:rStyle w:val="836"/>
                  <w:rFonts w:ascii="Tinos" w:hAnsi="Tinos" w:eastAsia="Tinos" w:cs="Tinos"/>
                  <w:color w:val="000000" w:themeColor="text1"/>
                  <w:sz w:val="26"/>
                  <w:szCs w:val="26"/>
                  <w:u w:val="none"/>
                </w:rPr>
                <w:t xml:space="preserve">Указом Президента РФ от 26.02.2013  N 175 </w:t>
              </w:r>
              <w:r>
                <w:rPr>
                  <w:rStyle w:val="836"/>
                  <w:rFonts w:ascii="Tinos" w:hAnsi="Tinos" w:eastAsia="Tinos" w:cs="Tinos"/>
                  <w:color w:val="000000" w:themeColor="text1"/>
                  <w:sz w:val="26"/>
                  <w:szCs w:val="26"/>
                  <w:u w:val="single"/>
                </w:rPr>
                <w:t xml:space="preserve">. 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Лично,  через МФЦ,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через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Единый портал государственных и муниципальных услуг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в течение 10 рабочих дней со дня регистрации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</w:rPr>
              <w:t xml:space="preserve"> *1)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документ, удостоверяющий личность заявителя (с отметкой о выдаче вида на жительство - для иностранных граждан и лиц без гражданства), осуществляющего уход;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 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</w:rPr>
              <w:t xml:space="preserve">  *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</w:rPr>
              <w:t xml:space="preserve">2)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заявление;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      3) информация о получении ежемесячной выплаты в соответствии с </w:t>
            </w:r>
            <w:hyperlink r:id="rId13" w:tooltip="https://docs.cntd.ru/document/499003583#7D20K3" w:history="1">
              <w:r>
                <w:rPr>
                  <w:rStyle w:val="836"/>
                  <w:rFonts w:ascii="Tinos" w:hAnsi="Tinos" w:eastAsia="Tinos" w:cs="Tinos"/>
                  <w:color w:val="000000" w:themeColor="text1"/>
                  <w:sz w:val="26"/>
                  <w:szCs w:val="26"/>
                  <w:u w:val="none"/>
                </w:rPr>
                <w:t xml:space="preserve">Указом Президента РФ от 26.02.2013 N 175  </w:t>
              </w:r>
            </w:hyperlink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с указанием фамилии, имени, отчества лица, осуществляющего уход за ребенком-инвалидом, и периода, на который она назначена;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</w:rPr>
              <w:t xml:space="preserve">   *4)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документы (сведения) о рождении ребенка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компетентного органа  иностранного государства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;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  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5) сведения об установлении инвалидности ребенку;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    6) информация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о доходах семьи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за последние 12 календарных месяцев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предшествовавших месяцу перед месяцем обращения за назначением   доплаты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;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      7) сведения МВД России о регистрации по месту пребывания на территории Самарской области - при подаче заявления по месту пребывания.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   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</w:rPr>
              <w:t xml:space="preserve"> *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В случае отсутствия регистрации по месту пребывания на территории Самарской области заявителя и его детей заявитель предста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вляет иные документы, подтверждающие факт пребывания на территории Самарской области: решение суда об установлении факта проживания на территории Самарской области, договор найма жилого помещения, заключенный в соответствии с нормами действующего законодат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ельства;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    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8) информация органа, осуществляющего социальную поддержку населения по месту постоянного проживания заявителя, о неполучении им доплаты по уходу за ребенком-инвалидом (в случае подачи заявления в орган, осуществляющий социальную поддержку населения по мес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ту пребывания, и при наличии у заявителя места постоянного проживания за пределами Самарской области) или соответствующие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u w:val="single"/>
              </w:rPr>
              <w:t xml:space="preserve">сведения из единой цифровой платформы;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  <w:t xml:space="preserve">       9) сведения   об отсутствии факта лишения (ограничения) родительских прав, отобрания ребенка при непосредственной угрозе его жизни или здоровью;</w:t>
              <w:br/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 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  *10)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 Реквизиты счета получателя выплаты, открытого в кредитной организации 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(при условии выбора способа получения выплаты через кредитную организацию)</w:t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.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Срок принятия решения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1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0 рабочих дней со дня регистрации заявления, срок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продлевается на 20 рабочих дней в случае непоступления документов  (сведений), запрашиваемых в рамках межведомственного взаимодействия.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с. Большая Глушица, ул. Гагарина, д.27, каб. 7, 15, тел. 8(846 73)  2-13-08, 2-13-07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4"/>
    <w:next w:val="854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4"/>
    <w:next w:val="854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4"/>
    <w:next w:val="854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4"/>
    <w:next w:val="854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4"/>
    <w:next w:val="854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4"/>
    <w:next w:val="854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4"/>
    <w:next w:val="854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4"/>
    <w:next w:val="854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4"/>
    <w:next w:val="854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Title"/>
    <w:basedOn w:val="854"/>
    <w:next w:val="854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>
    <w:name w:val="Title Char"/>
    <w:link w:val="696"/>
    <w:uiPriority w:val="10"/>
    <w:rPr>
      <w:sz w:val="48"/>
      <w:szCs w:val="48"/>
    </w:rPr>
  </w:style>
  <w:style w:type="paragraph" w:styleId="698">
    <w:name w:val="Subtitle"/>
    <w:basedOn w:val="854"/>
    <w:next w:val="854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>
    <w:name w:val="Subtitle Char"/>
    <w:link w:val="698"/>
    <w:uiPriority w:val="11"/>
    <w:rPr>
      <w:sz w:val="24"/>
      <w:szCs w:val="24"/>
    </w:rPr>
  </w:style>
  <w:style w:type="paragraph" w:styleId="700">
    <w:name w:val="Quote"/>
    <w:basedOn w:val="854"/>
    <w:next w:val="854"/>
    <w:link w:val="701"/>
    <w:uiPriority w:val="29"/>
    <w:qFormat/>
    <w:pPr>
      <w:ind w:left="720" w:right="720"/>
    </w:pPr>
    <w:rPr>
      <w:i/>
    </w:rPr>
  </w:style>
  <w:style w:type="character" w:styleId="701">
    <w:name w:val="Quote Char"/>
    <w:link w:val="700"/>
    <w:uiPriority w:val="29"/>
    <w:rPr>
      <w:i/>
    </w:rPr>
  </w:style>
  <w:style w:type="paragraph" w:styleId="702">
    <w:name w:val="Intense Quote"/>
    <w:basedOn w:val="854"/>
    <w:next w:val="854"/>
    <w:link w:val="70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>
    <w:name w:val="Intense Quote Char"/>
    <w:link w:val="702"/>
    <w:uiPriority w:val="30"/>
    <w:rPr>
      <w:i/>
    </w:rPr>
  </w:style>
  <w:style w:type="paragraph" w:styleId="704">
    <w:name w:val="Header"/>
    <w:basedOn w:val="854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Header Char"/>
    <w:link w:val="704"/>
    <w:uiPriority w:val="99"/>
  </w:style>
  <w:style w:type="paragraph" w:styleId="706">
    <w:name w:val="Footer"/>
    <w:basedOn w:val="854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Footer Char"/>
    <w:link w:val="706"/>
    <w:uiPriority w:val="99"/>
  </w:style>
  <w:style w:type="paragraph" w:styleId="708">
    <w:name w:val="Caption"/>
    <w:basedOn w:val="854"/>
    <w:next w:val="85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708"/>
    <w:link w:val="706"/>
    <w:uiPriority w:val="99"/>
  </w:style>
  <w:style w:type="table" w:styleId="710">
    <w:name w:val="Table Grid"/>
    <w:basedOn w:val="8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0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4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5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7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1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paragraph" w:styleId="837">
    <w:name w:val="footnote text"/>
    <w:basedOn w:val="854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uiPriority w:val="99"/>
    <w:unhideWhenUsed/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paragraph" w:styleId="857">
    <w:name w:val="No Spacing"/>
    <w:basedOn w:val="854"/>
    <w:uiPriority w:val="1"/>
    <w:qFormat/>
    <w:pPr>
      <w:spacing w:after="0" w:line="240" w:lineRule="auto"/>
    </w:pPr>
  </w:style>
  <w:style w:type="paragraph" w:styleId="858">
    <w:name w:val="List Paragraph"/>
    <w:basedOn w:val="854"/>
    <w:uiPriority w:val="34"/>
    <w:qFormat/>
    <w:pPr>
      <w:contextualSpacing/>
      <w:ind w:left="720"/>
    </w:pPr>
  </w:style>
  <w:style w:type="character" w:styleId="859" w:default="1">
    <w:name w:val="Default Paragraph Font"/>
    <w:uiPriority w:val="1"/>
    <w:semiHidden/>
    <w:unhideWhenUsed/>
  </w:style>
  <w:style w:type="paragraph" w:styleId="860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docs.cntd.ru/document/499003583#7D20K3" TargetMode="External"/><Relationship Id="rId11" Type="http://schemas.openxmlformats.org/officeDocument/2006/relationships/hyperlink" Target="https://docs.cntd.ru/document/499003583#7D20K3" TargetMode="External"/><Relationship Id="rId12" Type="http://schemas.openxmlformats.org/officeDocument/2006/relationships/hyperlink" Target="https://docs.cntd.ru/document/499003583#7D20K3" TargetMode="External"/><Relationship Id="rId13" Type="http://schemas.openxmlformats.org/officeDocument/2006/relationships/hyperlink" Target="https://docs.cntd.ru/document/499003583#7D20K3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Р7-Офис/2024.1.2.401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12</cp:revision>
  <dcterms:modified xsi:type="dcterms:W3CDTF">2025-02-10T10:08:29Z</dcterms:modified>
</cp:coreProperties>
</file>