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673" w:rsidRDefault="00054F35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21673" w:rsidRDefault="00054F3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621673" w:rsidRDefault="00054F35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 февраля 2022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Почти 10 тысяч объектов недвижимости зарегистрировал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 «гаражной амнистии» в России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продолжает мониторинг применений в субъектах Российской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называемого Закона о «гаражной амнистии».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вступил в силу 1 сентября 2021 года. В течение пяти лет — до 1 сентября 2026 года — оформить незарегистрированный гараж и землю под ним можно по упрощенной схеме.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Реализацию Закона о «гаражной амнистии» мы начали осенью 2021 года, всег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4 месяца назад. Со всеми регионами регулярно проводили методическую и разъяснительную работу, плотно взаимодействовали с нашими территориальными органами по всем возникающим вопросам. По состоянию на 30 декабря 2021 года по всей стране по правилам, преду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смотренным новым законом, зарегистрировано 3797 земельных участков общей площадью 112101,7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 и 4733 гаража. Также дополнительно включены сведения о 1324 объектах недвижимости, в отношении которых в ЕГРН внесены изменения в сведения о виде объекта недви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жимости, благодаря чему собственники указанных объектов смогут также оформить землю под гаражами. В 2022 году ожидаем, что активность граждан по использованию инструментов гаражной амнистии увеличится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- отметил заместитель руководителя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Алексей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Бутовецкий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Самарской области за время действия закона зарегистрировано 38 объектов недвижимости, площадь оформленных земельных участков составляет 915 кв. 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..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днях вопрос о реализации «гаражной амнистии» рассматривался в Самарской Губернской Думе с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участием Управления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Самарской области, областной прокуратуры и представителей муниципальных образований. По итогам совещания принято решение проанализировать отказы муниципальных образований в предоставлении земельных участков и с учетом резу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льтатов этого анализа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обсудить возможность утверждения регионального списка документов, позволяющих зарегистрировать недвижимость в упрощенном порядке. 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u w:val="single"/>
          <w:lang w:eastAsia="ru-RU"/>
        </w:rPr>
        <w:t>:</w:t>
      </w: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Напомним, федеральный закон №79 «О внесении изменений в отдельные законодательные акты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Российской Федерации»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ость бесплатно земельного участка, находящегося в государственной или муниципальной собственности, на котором он расположен.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 частности, если земельный участок для размещения гаража был предоставлен гражданину или передан ему какой-либо организацией (в то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м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числе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с которой этот гражданин состоял в трудовых или иных отношениях)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На федеральном уровне закреплен перечень документов, не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обходимых для приобретения гражданами земельных участков, расположенных под такими объектами гаражного назначения. Вместе с тем регионы при необходимости вправе дополнить данный список. 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Земельный участок, находящийся в государственной или муниципальной с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обственности, может быть предоставлен наследнику, а также </w:t>
      </w: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человеку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приобретшему такой гараж по соглашению от первоначального владельца.</w:t>
      </w:r>
    </w:p>
    <w:p w:rsidR="00621673" w:rsidRDefault="0062167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21673" w:rsidRDefault="00054F35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Уточнено, что инвалиды имеют внеочередное право в порядке, установленном Земельным кодексом РФ, на предоставление земел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ьных участков, находящихся в государственной или муниципальной собственности, для строительства гаражей вблизи места жительства инвалидов или на использование земель или земельных участков, находящихся в государственной или муниципальной собственности, для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возведения гаражей, являющихся некапитальными сооружениями, либо стоянки технических или других средств передвижения инвалидов вблизи их места жительства</w:t>
      </w:r>
      <w:proofErr w:type="gramEnd"/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без предоставления земельных участков и установления сервитута, публичного сервитута.</w:t>
      </w:r>
    </w:p>
    <w:p w:rsidR="00621673" w:rsidRDefault="00054F35">
      <w:pPr>
        <w:shd w:val="clear" w:color="auto" w:fill="FFFFFF"/>
        <w:spacing w:after="0" w:line="360" w:lineRule="auto"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hd w:val="clear" w:color="auto" w:fill="FFFFFF"/>
        </w:rPr>
        <w:t>_______________</w:t>
      </w:r>
      <w:r>
        <w:rPr>
          <w:rFonts w:ascii="Segoe UI" w:hAnsi="Segoe UI" w:cs="Segoe UI"/>
          <w:color w:val="000000"/>
          <w:shd w:val="clear" w:color="auto" w:fill="FFFFFF"/>
        </w:rPr>
        <w:t>____________________________________________________________________________________________</w:t>
      </w:r>
    </w:p>
    <w:p w:rsidR="00621673" w:rsidRDefault="00054F35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hAnsi="Segoe UI" w:cs="Segoe UI"/>
          <w:sz w:val="24"/>
          <w:szCs w:val="24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 </w:t>
      </w:r>
      <w:r>
        <w:rPr>
          <w:rFonts w:ascii="Segoe UI" w:hAnsi="Segoe UI" w:cs="Segoe UI"/>
          <w:bCs/>
          <w:sz w:val="24"/>
          <w:szCs w:val="24"/>
        </w:rPr>
        <w:t>Никитина Ольга Александровна</w:t>
      </w:r>
      <w:r>
        <w:rPr>
          <w:rFonts w:ascii="Segoe UI" w:hAnsi="Segoe UI" w:cs="Segoe UI"/>
          <w:sz w:val="24"/>
          <w:szCs w:val="24"/>
        </w:rPr>
        <w:t xml:space="preserve">, </w:t>
      </w:r>
    </w:p>
    <w:p w:rsidR="00621673" w:rsidRDefault="00054F35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помощник руководителя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</w:t>
      </w:r>
      <w:r>
        <w:rPr>
          <w:rFonts w:ascii="Segoe UI" w:hAnsi="Segoe UI" w:cs="Segoe UI"/>
          <w:sz w:val="24"/>
          <w:szCs w:val="24"/>
        </w:rPr>
        <w:br/>
        <w:t xml:space="preserve">Телефон: (846) 33-22-555, </w:t>
      </w:r>
    </w:p>
    <w:p w:rsidR="00621673" w:rsidRDefault="00054F3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Segoe UI" w:hAnsi="Segoe UI" w:cs="Segoe UI"/>
          <w:sz w:val="24"/>
          <w:szCs w:val="24"/>
        </w:rPr>
        <w:t xml:space="preserve">Мобильный: </w:t>
      </w:r>
      <w:r>
        <w:rPr>
          <w:rFonts w:ascii="Segoe UI" w:hAnsi="Segoe UI" w:cs="Segoe UI"/>
          <w:b/>
          <w:bCs/>
          <w:sz w:val="24"/>
          <w:szCs w:val="24"/>
        </w:rPr>
        <w:t xml:space="preserve">8 (927) </w:t>
      </w:r>
      <w:r>
        <w:rPr>
          <w:rFonts w:ascii="Segoe UI" w:hAnsi="Segoe UI" w:cs="Segoe UI"/>
          <w:b/>
          <w:bCs/>
          <w:sz w:val="24"/>
          <w:szCs w:val="24"/>
        </w:rPr>
        <w:t>690-73-51</w:t>
      </w:r>
      <w:r>
        <w:rPr>
          <w:rFonts w:ascii="Segoe UI" w:hAnsi="Segoe UI" w:cs="Segoe UI"/>
          <w:bCs/>
          <w:sz w:val="24"/>
          <w:szCs w:val="24"/>
        </w:rPr>
        <w:t xml:space="preserve"> (</w:t>
      </w:r>
      <w:proofErr w:type="spellStart"/>
      <w:r>
        <w:rPr>
          <w:rFonts w:ascii="Segoe UI" w:hAnsi="Segoe UI" w:cs="Segoe UI"/>
          <w:bCs/>
          <w:sz w:val="24"/>
          <w:szCs w:val="24"/>
        </w:rPr>
        <w:t>Вайбер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Ватсап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, </w:t>
      </w:r>
      <w:proofErr w:type="spellStart"/>
      <w:r>
        <w:rPr>
          <w:rFonts w:ascii="Segoe UI" w:hAnsi="Segoe UI" w:cs="Segoe UI"/>
          <w:bCs/>
          <w:sz w:val="24"/>
          <w:szCs w:val="24"/>
        </w:rPr>
        <w:t>Телеграм</w:t>
      </w:r>
      <w:proofErr w:type="spellEnd"/>
      <w:r>
        <w:rPr>
          <w:rFonts w:ascii="Segoe UI" w:hAnsi="Segoe UI" w:cs="Segoe UI"/>
          <w:bCs/>
          <w:sz w:val="24"/>
          <w:szCs w:val="24"/>
        </w:rPr>
        <w:t xml:space="preserve">) </w:t>
      </w:r>
      <w:r>
        <w:rPr>
          <w:rFonts w:ascii="Segoe UI" w:hAnsi="Segoe UI" w:cs="Segoe UI"/>
          <w:sz w:val="24"/>
          <w:szCs w:val="24"/>
        </w:rPr>
        <w:t>Эл</w:t>
      </w:r>
      <w:proofErr w:type="gramStart"/>
      <w:r>
        <w:rPr>
          <w:rFonts w:ascii="Segoe UI" w:hAnsi="Segoe UI" w:cs="Segoe UI"/>
          <w:sz w:val="24"/>
          <w:szCs w:val="24"/>
        </w:rPr>
        <w:t>.</w:t>
      </w:r>
      <w:proofErr w:type="gramEnd"/>
      <w:r>
        <w:rPr>
          <w:rFonts w:ascii="Segoe UI" w:hAnsi="Segoe UI" w:cs="Segoe UI"/>
          <w:sz w:val="24"/>
          <w:szCs w:val="24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</w:rPr>
        <w:t>п</w:t>
      </w:r>
      <w:proofErr w:type="gramEnd"/>
      <w:r>
        <w:rPr>
          <w:rFonts w:ascii="Segoe UI" w:hAnsi="Segoe UI" w:cs="Segoe UI"/>
          <w:sz w:val="24"/>
          <w:szCs w:val="24"/>
        </w:rPr>
        <w:t xml:space="preserve">очта: </w:t>
      </w:r>
      <w:hyperlink r:id="rId6" w:history="1">
        <w:r>
          <w:rPr>
            <w:rFonts w:ascii="Segoe UI" w:hAnsi="Segoe UI" w:cs="Segoe UI"/>
            <w:color w:val="0000FF"/>
            <w:sz w:val="24"/>
            <w:szCs w:val="24"/>
            <w:u w:val="single"/>
          </w:rPr>
          <w:t>pr.samara@mail.ru</w:t>
        </w:r>
      </w:hyperlink>
    </w:p>
    <w:sectPr w:rsidR="0062167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673"/>
    <w:rsid w:val="00054F35"/>
    <w:rsid w:val="0062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6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45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2022-02-09T12:39:00Z</cp:lastPrinted>
  <dcterms:created xsi:type="dcterms:W3CDTF">2022-02-15T04:55:00Z</dcterms:created>
  <dcterms:modified xsi:type="dcterms:W3CDTF">2022-02-15T04:55:00Z</dcterms:modified>
</cp:coreProperties>
</file>