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spacing w:line="360" w:lineRule="auto"/>
        <w:rPr>
          <w:rFonts w:ascii="Tinos" w:hAnsi="Tinos" w:cs="Tinos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     12.1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0.2026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ind w:left="0" w:right="0" w:firstLine="0"/>
        <w:jc w:val="center"/>
        <w:spacing w:line="360" w:lineRule="auto"/>
        <w:rPr>
          <w:rFonts w:ascii="Tinos" w:hAnsi="Tinos" w:eastAsia="Tinos" w:cs="Tinos"/>
          <w:b/>
          <w:bCs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В Сергиевском районе Самарской области состоялось очередное заседание штаба по капитализации территорий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Руководитель Управления Росреестра по Самарской области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Александр Передерий</w:t>
      </w:r>
      <w:r>
        <w:rPr>
          <w:rFonts w:ascii="Tinos" w:hAnsi="Tinos" w:eastAsia="Tinos" w:cs="Tinos"/>
          <w:sz w:val="28"/>
          <w:szCs w:val="28"/>
        </w:rPr>
        <w:t xml:space="preserve"> принял участие в заседании </w:t>
      </w:r>
      <w:r>
        <w:rPr>
          <w:rFonts w:ascii="Tinos" w:hAnsi="Tinos" w:eastAsia="Tinos" w:cs="Tinos"/>
          <w:sz w:val="28"/>
          <w:szCs w:val="28"/>
        </w:rPr>
        <w:t xml:space="preserve">оперативного </w:t>
      </w:r>
      <w:r>
        <w:rPr>
          <w:rFonts w:ascii="Tinos" w:hAnsi="Tinos" w:eastAsia="Tinos" w:cs="Tinos"/>
          <w:sz w:val="28"/>
          <w:szCs w:val="28"/>
        </w:rPr>
        <w:t xml:space="preserve">штаба по реализации государственн</w:t>
      </w:r>
      <w:r>
        <w:rPr>
          <w:rFonts w:ascii="Tinos" w:hAnsi="Tinos" w:eastAsia="Tinos" w:cs="Tinos"/>
          <w:sz w:val="28"/>
          <w:szCs w:val="28"/>
        </w:rPr>
        <w:t xml:space="preserve">ой программы «Национальная система пространственных данных» (НСПД) и комплексу мероприятий, направленных на повышен</w:t>
      </w:r>
      <w:r>
        <w:rPr>
          <w:rFonts w:ascii="Tinos" w:hAnsi="Tinos" w:eastAsia="Tinos" w:cs="Tinos"/>
          <w:sz w:val="28"/>
          <w:szCs w:val="28"/>
        </w:rPr>
        <w:t xml:space="preserve">ие капитализации территорий, под председательством </w:t>
      </w:r>
      <w:r>
        <w:rPr>
          <w:rFonts w:ascii="Tinos" w:hAnsi="Tinos" w:eastAsia="Tinos" w:cs="Tinos"/>
          <w:sz w:val="28"/>
          <w:szCs w:val="28"/>
        </w:rPr>
        <w:t xml:space="preserve">з</w:t>
      </w:r>
      <w:r>
        <w:rPr>
          <w:rFonts w:ascii="Tinos" w:hAnsi="Tinos" w:eastAsia="Tinos" w:cs="Tinos"/>
          <w:sz w:val="28"/>
          <w:szCs w:val="28"/>
        </w:rPr>
        <w:t xml:space="preserve">аместителя председателя правительства Самарской области, министра финансов региона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Ольги Собещанской, </w:t>
      </w:r>
      <w:r>
        <w:rPr>
          <w:rFonts w:ascii="Tinos" w:hAnsi="Tinos" w:eastAsia="Tinos" w:cs="Tinos"/>
          <w:sz w:val="28"/>
          <w:szCs w:val="28"/>
        </w:rPr>
        <w:t xml:space="preserve">которое состоялось в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поселке Светлодольск </w:t>
      </w:r>
      <w:r>
        <w:rPr>
          <w:rFonts w:ascii="Tinos" w:hAnsi="Tinos" w:eastAsia="Tinos" w:cs="Tinos"/>
          <w:sz w:val="28"/>
          <w:szCs w:val="28"/>
        </w:rPr>
        <w:t xml:space="preserve">муниципального района </w:t>
      </w:r>
      <w:r>
        <w:rPr>
          <w:rFonts w:ascii="Tinos" w:hAnsi="Tinos" w:eastAsia="Tinos" w:cs="Tinos"/>
          <w:sz w:val="28"/>
          <w:szCs w:val="28"/>
        </w:rPr>
        <w:t xml:space="preserve">Сергиевский. </w:t>
      </w:r>
      <w:r>
        <w:rPr>
          <w:rFonts w:ascii="Tinos" w:hAnsi="Tinos" w:eastAsia="Tinos" w:cs="Tinos"/>
          <w:i/>
          <w:sz w:val="28"/>
          <w:szCs w:val="28"/>
          <w14:ligatures w14:val="none"/>
        </w:rPr>
      </w:r>
      <w:r>
        <w:rPr>
          <w:rFonts w:ascii="Tinos" w:hAnsi="Tinos" w:eastAsia="Tinos" w:cs="Tinos"/>
          <w:sz w:val="28"/>
          <w:szCs w:val="28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bCs/>
          <w:i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На встрече с</w:t>
      </w:r>
      <w:r>
        <w:rPr>
          <w:rFonts w:ascii="Tinos" w:hAnsi="Tinos" w:eastAsia="Tinos" w:cs="Tinos"/>
          <w:sz w:val="28"/>
          <w:szCs w:val="28"/>
        </w:rPr>
        <w:t xml:space="preserve"> главами </w:t>
      </w:r>
      <w:r>
        <w:rPr>
          <w:rFonts w:ascii="Tinos" w:hAnsi="Tinos" w:eastAsia="Tinos" w:cs="Tinos"/>
          <w:sz w:val="28"/>
          <w:szCs w:val="28"/>
        </w:rPr>
        <w:t xml:space="preserve">Сергиевского, </w:t>
      </w:r>
      <w:r>
        <w:rPr>
          <w:rFonts w:ascii="Tinos" w:hAnsi="Tinos" w:eastAsia="Tinos" w:cs="Tinos"/>
          <w:sz w:val="28"/>
          <w:szCs w:val="28"/>
        </w:rPr>
        <w:t xml:space="preserve">Кошкинского, </w:t>
      </w:r>
      <w:r>
        <w:rPr>
          <w:rFonts w:ascii="Tinos" w:hAnsi="Tinos" w:eastAsia="Tinos" w:cs="Tinos"/>
          <w:sz w:val="28"/>
          <w:szCs w:val="28"/>
        </w:rPr>
        <w:t xml:space="preserve">Челно-Вершинского, </w:t>
      </w:r>
      <w:r>
        <w:rPr>
          <w:rFonts w:ascii="Tinos" w:hAnsi="Tinos" w:eastAsia="Tinos" w:cs="Tinos"/>
          <w:sz w:val="28"/>
          <w:szCs w:val="28"/>
        </w:rPr>
        <w:t xml:space="preserve">Шенталинского, </w:t>
      </w:r>
      <w:r>
        <w:rPr>
          <w:rFonts w:ascii="Tinos" w:hAnsi="Tinos" w:eastAsia="Tinos" w:cs="Tinos"/>
          <w:sz w:val="28"/>
          <w:szCs w:val="28"/>
        </w:rPr>
        <w:t xml:space="preserve">Исаклинского, </w:t>
      </w:r>
      <w:r>
        <w:rPr>
          <w:rFonts w:ascii="Tinos" w:hAnsi="Tinos" w:eastAsia="Tinos" w:cs="Tinos"/>
          <w:sz w:val="28"/>
          <w:szCs w:val="28"/>
        </w:rPr>
        <w:t xml:space="preserve">Клявлинского и </w:t>
      </w:r>
      <w:r>
        <w:rPr>
          <w:rFonts w:ascii="Tinos" w:hAnsi="Tinos" w:eastAsia="Tinos" w:cs="Tinos"/>
          <w:sz w:val="28"/>
          <w:szCs w:val="28"/>
        </w:rPr>
        <w:t xml:space="preserve">Елховского муниципальных районов Самарской области</w:t>
      </w:r>
      <w:r>
        <w:rPr>
          <w:rFonts w:ascii="Tinos" w:hAnsi="Tinos" w:eastAsia="Tinos" w:cs="Tinos"/>
          <w:sz w:val="28"/>
          <w:szCs w:val="28"/>
        </w:rPr>
        <w:t xml:space="preserve"> об</w:t>
      </w:r>
      <w:r>
        <w:rPr>
          <w:rFonts w:ascii="Tinos" w:hAnsi="Tinos" w:eastAsia="Tinos" w:cs="Tinos"/>
          <w:sz w:val="28"/>
          <w:szCs w:val="28"/>
        </w:rPr>
        <w:t xml:space="preserve">судили п</w:t>
      </w:r>
      <w:r>
        <w:rPr>
          <w:rFonts w:ascii="Tinos" w:hAnsi="Tinos" w:eastAsia="Tinos" w:cs="Tinos"/>
          <w:sz w:val="28"/>
          <w:szCs w:val="28"/>
        </w:rPr>
        <w:t xml:space="preserve">роведение мероприятий, связанных с оборотом и уточ</w:t>
      </w:r>
      <w:r>
        <w:rPr>
          <w:rFonts w:ascii="Tinos" w:hAnsi="Tinos" w:eastAsia="Tinos" w:cs="Tinos"/>
          <w:sz w:val="28"/>
          <w:szCs w:val="28"/>
        </w:rPr>
        <w:t xml:space="preserve">нением характеристик объектов земельно-имущественного комплекса, п</w:t>
      </w:r>
      <w:r>
        <w:rPr>
          <w:rFonts w:ascii="Tinos" w:hAnsi="Tinos" w:eastAsia="Tinos" w:cs="Tinos"/>
          <w:sz w:val="28"/>
          <w:szCs w:val="28"/>
        </w:rPr>
        <w:t xml:space="preserve">роведение комплексных ка</w:t>
      </w:r>
      <w:r>
        <w:rPr>
          <w:rFonts w:ascii="Tinos" w:hAnsi="Tinos" w:eastAsia="Tinos" w:cs="Tinos"/>
          <w:sz w:val="28"/>
          <w:szCs w:val="28"/>
        </w:rPr>
        <w:t xml:space="preserve">дастровых работ на указанных территориях, в</w:t>
      </w:r>
      <w:r>
        <w:rPr>
          <w:rFonts w:ascii="Tinos" w:hAnsi="Tinos" w:eastAsia="Tinos" w:cs="Tinos"/>
          <w:sz w:val="28"/>
          <w:szCs w:val="28"/>
        </w:rPr>
        <w:t xml:space="preserve">заимодействие налоговых органов и органов местного самоуправления по вопросам увелич</w:t>
      </w:r>
      <w:r>
        <w:rPr>
          <w:rFonts w:ascii="Tinos" w:hAnsi="Tinos" w:eastAsia="Tinos" w:cs="Tinos"/>
          <w:sz w:val="28"/>
          <w:szCs w:val="28"/>
        </w:rPr>
        <w:t xml:space="preserve">ения доходов местных бюджетов, а также о</w:t>
      </w:r>
      <w:r>
        <w:rPr>
          <w:rFonts w:ascii="Tinos" w:hAnsi="Tinos" w:eastAsia="Tinos" w:cs="Tinos"/>
          <w:sz w:val="28"/>
          <w:szCs w:val="28"/>
        </w:rPr>
        <w:t xml:space="preserve">ргани</w:t>
      </w:r>
      <w:r>
        <w:rPr>
          <w:rFonts w:ascii="Tinos" w:hAnsi="Tinos" w:eastAsia="Tinos" w:cs="Tinos"/>
          <w:sz w:val="28"/>
          <w:szCs w:val="28"/>
        </w:rPr>
        <w:t xml:space="preserve">за</w:t>
      </w:r>
      <w:r>
        <w:rPr>
          <w:rFonts w:ascii="Tinos" w:hAnsi="Tinos" w:eastAsia="Tinos" w:cs="Tinos"/>
          <w:sz w:val="28"/>
          <w:szCs w:val="28"/>
        </w:rPr>
        <w:t xml:space="preserve">цию работы по исполнению решений суда в части взыскания просроченной дебиторской задолженности в рамках исполнительного производства</w:t>
      </w:r>
      <w:r>
        <w:rPr>
          <w:rFonts w:ascii="Tinos" w:hAnsi="Tinos" w:eastAsia="Tinos" w:cs="Tinos"/>
          <w:sz w:val="28"/>
          <w:szCs w:val="28"/>
        </w:rPr>
        <w:t xml:space="preserve">. </w:t>
      </w:r>
      <w:r>
        <w:rPr>
          <w:rFonts w:ascii="Tinos" w:hAnsi="Tinos" w:eastAsia="Tinos" w:cs="Tinos"/>
          <w:bCs/>
          <w:i/>
          <w:sz w:val="28"/>
          <w:szCs w:val="28"/>
          <w14:ligatures w14:val="none"/>
        </w:rPr>
      </w:r>
      <w:r>
        <w:rPr>
          <w:rFonts w:ascii="Tinos" w:hAnsi="Tinos" w:eastAsia="Tinos" w:cs="Tinos"/>
          <w:bCs/>
          <w:i/>
          <w:sz w:val="28"/>
          <w:szCs w:val="28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Важную роль 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в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lang w:eastAsia="ru-RU"/>
        </w:rPr>
        <w:t xml:space="preserve">вопросах капитализации территорий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 играет 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кадастровая стоимость объектов недвижимости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Чем более прозрачной, объективной и экономически обоснованной является система оценки, тем выше инвестиционная привлекательность муниципалитета. Это 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влияет на развитие бизнеса, строительство, вовлечение свободных земель и общий экономический рост территории.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i/>
          <w:iCs/>
          <w:sz w:val="28"/>
          <w:szCs w:val="28"/>
          <w:highlight w:val="none"/>
        </w:rPr>
        <w:t xml:space="preserve">«</w:t>
      </w:r>
      <w:r>
        <w:rPr>
          <w:rFonts w:ascii="Tinos" w:hAnsi="Tinos" w:eastAsia="Tinos" w:cs="Tinos"/>
          <w:i/>
          <w:iCs/>
          <w:color w:val="111111"/>
          <w:sz w:val="28"/>
          <w:szCs w:val="28"/>
          <w:lang w:eastAsia="ru-RU"/>
        </w:rPr>
        <w:t xml:space="preserve">Для достижения целей необходимо, в частности, продолжать выявлять правообладателей и уточнять границы земельных участков.</w:t>
      </w:r>
      <w:r>
        <w:rPr>
          <w:rFonts w:ascii="Tinos" w:hAnsi="Tinos" w:eastAsia="Tinos" w:cs="Tinos"/>
          <w:i/>
          <w:iCs/>
          <w:color w:val="111111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lang w:eastAsia="ru-RU"/>
        </w:rPr>
        <w:t xml:space="preserve">С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lang w:eastAsia="ru-RU"/>
        </w:rPr>
        <w:t xml:space="preserve">егодня особое внимание уделяется качеству сведений в ЕГРН и проведению государственной кадастровой оценки земельных участков.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В 2026 году проводятся работы по государственной кадастровой оценке земельных участков на территории Самарской области, в 2027 году будут проведены работы по государственной кадастровой оценке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объектов капитального строительства.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 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lang w:eastAsia="ru-RU"/>
        </w:rPr>
        <w:t xml:space="preserve">Точные и актуальные данные — это основа не только для корректных расчетов, но и для эффективного управления территориями и устойчивого развития муниципальных образований»,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– отметил в своем выступлении руководитель руководитель самарского Росреестра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lang w:eastAsia="ru-RU"/>
        </w:rPr>
        <w:t xml:space="preserve">Александр Передерий.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  <w:lang w:eastAsia="ru-RU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color w:val="000000" w:themeColor="text1"/>
          <w:sz w:val="28"/>
          <w:szCs w:val="28"/>
          <w:highlight w:val="non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Обсуждая тему 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формирования 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земельного фонда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 пригодн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ых для строительства территорий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, которая является важной составляющей капитализации региона, были отмечены муниципальные районы 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– лидеры среди участников заседания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, на территории которых выявлено больше всего тер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риторий и земельных участков под жилищное строительство: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  <w:lang w:eastAsia="ru-RU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color w:val="000000" w:themeColor="text1"/>
          <w:sz w:val="28"/>
          <w:szCs w:val="28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муниципальный район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 Исаклинский - 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524,7909 га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;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color w:val="000000" w:themeColor="text1"/>
          <w:sz w:val="28"/>
          <w:szCs w:val="28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муниципальный район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 Елховский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 - 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324,1859 га;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color w:val="000000" w:themeColor="text1"/>
          <w:sz w:val="28"/>
          <w:szCs w:val="28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муниципальный район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 Кошкинский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 - 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203,3207 га</w:t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</w:rPr>
        <w:t xml:space="preserve">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nos" w:hAnsi="Tinos" w:eastAsia="Tinos" w:cs="Tinos"/>
          <w:color w:val="000000" w:themeColor="text1"/>
          <w:sz w:val="28"/>
          <w:szCs w:val="28"/>
          <w:lang w:eastAsia="ru-RU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Ц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елью показателя является не только выявление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в целях жилищного строительства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, но и вовлечение в оборот неиспользуемых или не эффективно используемых земель на территории региона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.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Лидером по вовлечению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земельных участков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среди районов-участников стал муниципальный район С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ергиевский -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0,988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га.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  <w14:ligatures w14:val="none"/>
        </w:rPr>
        <w:t xml:space="preserve">По результатам проведенного заседания были обозначены задачи, а также озвучены поручения по выполнению мероприятий</w:t>
      </w:r>
      <w:r>
        <w:rPr>
          <w:rFonts w:ascii="Tinos" w:hAnsi="Tinos" w:eastAsia="Tinos" w:cs="Tinos"/>
          <w:sz w:val="28"/>
          <w:szCs w:val="28"/>
        </w:rPr>
        <w:t xml:space="preserve">, направленных на повышен</w:t>
      </w:r>
      <w:r>
        <w:rPr>
          <w:rFonts w:ascii="Tinos" w:hAnsi="Tinos" w:eastAsia="Tinos" w:cs="Tinos"/>
          <w:sz w:val="28"/>
          <w:szCs w:val="28"/>
        </w:rPr>
        <w:t xml:space="preserve">ие капитализации территорий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14:ligatures w14:val="none"/>
        </w:rPr>
      </w:r>
    </w:p>
    <w:p>
      <w:pPr>
        <w:contextualSpacing w:val="0"/>
        <w:ind w:left="-567" w:right="0" w:firstLine="709"/>
        <w:jc w:val="both"/>
        <w:spacing w:before="0" w:after="0" w:line="276" w:lineRule="auto"/>
        <w:rPr>
          <w:rFonts w:ascii="Times New Roman" w:hAnsi="Times New Roman" w:cs="Times New Roman"/>
          <w:sz w:val="26"/>
          <w:szCs w:val="26"/>
          <w:highlight w:val="none"/>
          <w:lang w:eastAsia="ru-RU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627639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115050" cy="634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1.50pt;height:0.50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  <w:highlight w:val="none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lang w:eastAsia="ru-RU"/>
        </w:rPr>
      </w:r>
    </w:p>
    <w:p>
      <w:pPr>
        <w:jc w:val="both"/>
        <w:spacing w:line="276" w:lineRule="auto"/>
        <w:rPr>
          <w:rFonts w:ascii="Times New Roman" w:hAnsi="Times New Roman" w:eastAsia="Calibri" w:cs="Times New Roman"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</w:r>
      <w:r>
        <w:rPr>
          <w:rFonts w:ascii="Times New Roman" w:hAnsi="Times New Roman" w:eastAsia="Calibri" w:cs="Times New Roman"/>
          <w:sz w:val="22"/>
          <w:szCs w:val="22"/>
        </w:rPr>
        <w:t xml:space="preserve">Материал подготовлен пресс-службой </w:t>
      </w:r>
      <w:r>
        <w:rPr>
          <w:rFonts w:ascii="Times New Roman" w:hAnsi="Times New Roman" w:eastAsia="Calibri" w:cs="Times New Roman"/>
          <w:sz w:val="22"/>
          <w:szCs w:val="22"/>
        </w:rPr>
        <w:t xml:space="preserve">Управления</w:t>
      </w:r>
      <w:r>
        <w:rPr>
          <w:rFonts w:ascii="Times New Roman" w:hAnsi="Times New Roman" w:eastAsia="Calibri" w:cs="Times New Roman"/>
          <w:sz w:val="22"/>
          <w:szCs w:val="22"/>
        </w:rPr>
        <w:t xml:space="preserve"> Росреестра по Самарской области</w:t>
      </w:r>
      <w:r>
        <w:rPr>
          <w:rFonts w:ascii="Times New Roman" w:hAnsi="Times New Roman" w:eastAsia="Calibri" w:cs="Times New Roman"/>
          <w:sz w:val="22"/>
          <w:szCs w:val="22"/>
        </w:rPr>
      </w:r>
      <w:r>
        <w:rPr>
          <w:rFonts w:ascii="Times New Roman" w:hAnsi="Times New Roman" w:eastAsia="Calibri" w:cs="Times New Roman"/>
          <w:sz w:val="22"/>
          <w:szCs w:val="22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inos">
    <w:panose1 w:val="02020603050405020304"/>
  </w:font>
  <w:font w:name="Segoe UI">
    <w:panose1 w:val="020B0502040504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4"/>
    <w:next w:val="834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5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4"/>
    <w:next w:val="834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5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4"/>
    <w:next w:val="834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5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5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5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5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5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5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5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List Paragraph"/>
    <w:basedOn w:val="834"/>
    <w:uiPriority w:val="34"/>
    <w:qFormat/>
    <w:pPr>
      <w:contextualSpacing/>
      <w:ind w:left="720"/>
    </w:p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basedOn w:val="835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basedOn w:val="835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basedOn w:val="835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basedOn w:val="835"/>
    <w:link w:val="686"/>
    <w:uiPriority w:val="99"/>
  </w:style>
  <w:style w:type="paragraph" w:styleId="688">
    <w:name w:val="Caption"/>
    <w:basedOn w:val="834"/>
    <w:next w:val="834"/>
    <w:link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35"/>
  </w:style>
  <w:style w:type="table" w:styleId="690">
    <w:name w:val="Table Grid"/>
    <w:basedOn w:val="83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basedOn w:val="835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5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</w:style>
  <w:style w:type="character" w:styleId="835" w:default="1">
    <w:name w:val="Default Paragraph Font"/>
    <w:uiPriority w:val="1"/>
    <w:semiHidden/>
    <w:unhideWhenUsed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paragraph" w:styleId="838">
    <w:name w:val="Balloon Text"/>
    <w:basedOn w:val="834"/>
    <w:link w:val="83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9" w:customStyle="1">
    <w:name w:val="Текст выноски Знак"/>
    <w:basedOn w:val="835"/>
    <w:link w:val="838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30</cp:revision>
  <dcterms:created xsi:type="dcterms:W3CDTF">2024-09-30T06:51:00Z</dcterms:created>
  <dcterms:modified xsi:type="dcterms:W3CDTF">2026-10-12T05:10:07Z</dcterms:modified>
</cp:coreProperties>
</file>