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09.10.2026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276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Внедрение цифровых инструментов в кадастровом учете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В Шигонском районе Самарской области состоялось рабочее совещание, в котором </w:t>
      </w:r>
      <w:r>
        <w:rPr>
          <w:rFonts w:ascii="Tinos" w:hAnsi="Tinos" w:eastAsia="Tinos" w:cs="Tinos"/>
          <w:sz w:val="28"/>
          <w:szCs w:val="28"/>
        </w:rPr>
        <w:t xml:space="preserve">приняли участие н</w:t>
      </w:r>
      <w:r>
        <w:rPr>
          <w:rFonts w:ascii="Tinos" w:hAnsi="Tinos" w:eastAsia="Tinos" w:cs="Tinos"/>
          <w:sz w:val="28"/>
          <w:szCs w:val="28"/>
        </w:rPr>
        <w:t xml:space="preserve">ачальник Межмуниципального отдела по городу Октябрьск, Шигонского района самарского Росреестра, </w:t>
      </w:r>
      <w:r>
        <w:rPr>
          <w:rFonts w:ascii="Tinos" w:hAnsi="Tinos" w:eastAsia="Tinos" w:cs="Tinos"/>
          <w:sz w:val="28"/>
          <w:szCs w:val="28"/>
        </w:rPr>
        <w:t xml:space="preserve">представители органов местного самоуправления</w:t>
      </w:r>
      <w:r>
        <w:rPr>
          <w:rFonts w:ascii="Tinos" w:hAnsi="Tinos" w:eastAsia="Tinos" w:cs="Tinos"/>
          <w:sz w:val="28"/>
          <w:szCs w:val="28"/>
        </w:rPr>
        <w:t xml:space="preserve">, специалисты МФЦ и кадастровые инженеры.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Темой встречи стало практиче</w:t>
      </w:r>
      <w:r>
        <w:rPr>
          <w:rFonts w:ascii="Tinos" w:hAnsi="Tinos" w:eastAsia="Tinos" w:cs="Tinos"/>
          <w:sz w:val="28"/>
          <w:szCs w:val="28"/>
        </w:rPr>
        <w:t xml:space="preserve">ское применение современных цифровых инструментов в сфере кадастрового учета и регистрации прав — в частности, использование личного кабинета кадастрового инженера,  технологий проекта «Умный кадастр» и модуля «Визуализация пространственных данных».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Участники встречи обсудили направления межведомственного взаимодействия, позволяющие повысить скорость оказания государственных услуг в сфере недвижимости. Особое внимание уделили механизмам интеграции данных между Рос</w:t>
      </w:r>
      <w:r>
        <w:rPr>
          <w:rFonts w:ascii="Tinos" w:hAnsi="Tinos" w:eastAsia="Tinos" w:cs="Tinos"/>
          <w:sz w:val="28"/>
          <w:szCs w:val="28"/>
        </w:rPr>
        <w:t xml:space="preserve">реестром, ОМС и МФЦ, а также роли кадастровых инженеров в этой связи.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Начальник Межмуниципального отдела по г.Октябрьск, Шигонского района самарского Росреестра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Оксана Ахмадулина</w:t>
      </w:r>
      <w:r>
        <w:rPr>
          <w:rFonts w:ascii="Tinos" w:hAnsi="Tinos" w:eastAsia="Tinos" w:cs="Tinos"/>
          <w:sz w:val="28"/>
          <w:szCs w:val="28"/>
        </w:rPr>
        <w:t xml:space="preserve"> отметила: 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«Внедрение цифровых сервисов — это не просто автоматизация отдельных процессов, а системное изменение всей модели взаимодействия с профессиональным сообществом и гражданами. Личный кабинет кадастрового инжене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ра и инструменты «Умного кадастра», «Визуализации пространственных данных» позволяют минимизировать ошибки на этапе подготовки документов, сократить сроки учета и повысить качество данных в ЕГРН».</w:t>
      </w:r>
      <w:r>
        <w:rPr>
          <w:rFonts w:ascii="Tinos" w:hAnsi="Tinos" w:eastAsia="Tinos" w:cs="Tinos"/>
          <w:bCs/>
          <w:i/>
          <w:sz w:val="28"/>
          <w:szCs w:val="28"/>
        </w:rPr>
      </w:r>
      <w:r>
        <w:rPr>
          <w:rFonts w:ascii="Tinos" w:hAnsi="Tinos" w:eastAsia="Tinos" w:cs="Tinos"/>
          <w:bCs/>
          <w:i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На совещании рассмотрели </w:t>
      </w:r>
      <w:r>
        <w:rPr>
          <w:rFonts w:ascii="Tinos" w:hAnsi="Tinos" w:eastAsia="Tinos" w:cs="Tinos"/>
          <w:sz w:val="28"/>
          <w:szCs w:val="28"/>
        </w:rPr>
        <w:t xml:space="preserve">порядок работы в Личном кабинете кадастрового инженера: подачу документов, отслеживание статусов, использование инструментов предварительной проверки; </w:t>
      </w:r>
      <w:r>
        <w:rPr>
          <w:rFonts w:ascii="Tinos" w:hAnsi="Tinos" w:eastAsia="Tinos" w:cs="Tinos"/>
          <w:sz w:val="28"/>
          <w:szCs w:val="28"/>
        </w:rPr>
        <w:t xml:space="preserve">применение технологий «Умного кадастра», «Визуализацию пространственных данных» для недопущения, выявления и устранения реестровых ошибок; </w:t>
      </w:r>
      <w:r>
        <w:rPr>
          <w:rFonts w:ascii="Tinos" w:hAnsi="Tinos" w:eastAsia="Tinos" w:cs="Tinos"/>
          <w:sz w:val="28"/>
          <w:szCs w:val="28"/>
        </w:rPr>
        <w:t xml:space="preserve">выявление неучтенных объектов недвижимости, выявление самовольно занятых земель; </w:t>
      </w:r>
      <w:r>
        <w:rPr>
          <w:rFonts w:ascii="Tinos" w:hAnsi="Tinos" w:eastAsia="Tinos" w:cs="Tinos"/>
          <w:sz w:val="28"/>
          <w:szCs w:val="28"/>
        </w:rPr>
        <w:t xml:space="preserve">типичные ошибки в межевых и технических планах, приводящие к приостановлениям, и способы их предотвращения с помощью автоматизированных проверок. Также рассматривался п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ереход обращений по кадастровому учету в цифровую плоскость непосредственно кадастровым инженером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</w:rPr>
        <w:t xml:space="preserve">Представители МФЦ поделились опытом разъяснительной </w:t>
      </w:r>
      <w:r>
        <w:rPr>
          <w:rFonts w:ascii="Tinos" w:hAnsi="Tinos" w:eastAsia="Tinos" w:cs="Tinos"/>
          <w:sz w:val="28"/>
          <w:szCs w:val="28"/>
        </w:rPr>
        <w:t xml:space="preserve">работы с заявителями о «плюсах» подачи документов в электронном виде  кадастровыми инженерами при оказании услуг «под ключ», когда правообладатель получает полный комплекс работ — от подготовки документов до регистрации прав.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Руководитель 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к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white"/>
        </w:rPr>
        <w:t xml:space="preserve">омитета по управлению муниципальным имуществом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м.р. Шигонский </w:t>
      </w:r>
      <w:r>
        <w:rPr>
          <w:rFonts w:ascii="Tinos" w:hAnsi="Tinos" w:eastAsia="Tinos" w:cs="Tinos"/>
          <w:sz w:val="28"/>
          <w:szCs w:val="28"/>
        </w:rPr>
        <w:t xml:space="preserve">рассказала о практике использования пространственных данных для планирования развития территорий, актуализации сведений о муниципальной недвижимости, принятии решений о распоряжении земельными участками.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Кадастровые инженеры представили практические кейсы по использованию 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л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ичного кабинета кадастрового инжене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ра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 </w:t>
      </w:r>
      <w:r>
        <w:rPr>
          <w:rFonts w:ascii="Tinos" w:hAnsi="Tinos" w:eastAsia="Tinos" w:cs="Tinos"/>
          <w:sz w:val="28"/>
          <w:szCs w:val="28"/>
        </w:rPr>
        <w:t xml:space="preserve">для оперативной проверки исходных данных. </w:t>
      </w:r>
      <w:r>
        <w:rPr>
          <w:rFonts w:ascii="Tinos" w:hAnsi="Tinos" w:eastAsia="Tinos" w:cs="Tinos"/>
          <w:sz w:val="28"/>
          <w:szCs w:val="28"/>
        </w:rPr>
        <w:t xml:space="preserve">Участники сошлись во мнении, что использование цифровых сервисов в подготовке документов и регулярный о</w:t>
      </w:r>
      <w:r>
        <w:rPr>
          <w:rFonts w:ascii="Tinos" w:hAnsi="Tinos" w:eastAsia="Tinos" w:cs="Tinos"/>
          <w:sz w:val="28"/>
          <w:szCs w:val="28"/>
        </w:rPr>
        <w:t xml:space="preserve">бмен лучшими практиками значительно снижают количество приостановлений и отказов в кадастровом учете.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По итогам совещания было решено внедрить в работу при подготовке комплекта документов для кадастрового учета – протокол автоматизированной проверки. 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«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Как практик, ежедневно готовящий межевые и технические планы, могу отметить: протокол автоматизированной проверки из л</w:t>
      </w:r>
      <w:r>
        <w:rPr>
          <w:rFonts w:ascii="Tinos" w:hAnsi="Tinos" w:eastAsia="Tinos" w:cs="Tinos"/>
          <w:i/>
          <w:iCs/>
          <w:sz w:val="28"/>
          <w:szCs w:val="28"/>
        </w:rPr>
        <w:t xml:space="preserve">ичного кабинета кадастрового инженера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 — это не опция, а рабочий стандарт. Он помогает увидеть несоответствия еще до подачи документов</w:t>
      </w:r>
      <w:r>
        <w:rPr>
          <w:rFonts w:ascii="Tinos" w:hAnsi="Tinos" w:eastAsia="Tinos" w:cs="Tinos"/>
          <w:i/>
          <w:iCs/>
          <w:sz w:val="28"/>
          <w:szCs w:val="28"/>
          <w:highlight w:val="none"/>
        </w:rPr>
        <w:t xml:space="preserve">. Такой подход экономит время заявителя и кадастрового инженера, а это и есть главный результат»,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– поделилась член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 ассоциации СРО кадастровых инженеров 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"Балтийское объединение кадастровых инженеров"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Светлана 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Симагова</w:t>
      </w:r>
      <w:r>
        <w:rPr>
          <w:rFonts w:ascii="Tinos" w:hAnsi="Tinos" w:eastAsia="Tinos" w:cs="Tinos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2">
    <w:name w:val="Heading 1 Char"/>
    <w:basedOn w:val="699"/>
    <w:link w:val="69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73">
    <w:name w:val="Heading 2 Char"/>
    <w:basedOn w:val="699"/>
    <w:link w:val="691"/>
    <w:uiPriority w:val="9"/>
    <w:rPr>
      <w:rFonts w:ascii="Liberation Sans" w:hAnsi="Liberation Sans" w:eastAsia="Liberation Sans" w:cs="Liberation Sans"/>
      <w:sz w:val="34"/>
    </w:rPr>
  </w:style>
  <w:style w:type="character" w:styleId="674">
    <w:name w:val="Heading 3 Char"/>
    <w:basedOn w:val="699"/>
    <w:link w:val="692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5">
    <w:name w:val="Heading 4 Char"/>
    <w:basedOn w:val="699"/>
    <w:link w:val="69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6">
    <w:name w:val="Heading 5 Char"/>
    <w:basedOn w:val="699"/>
    <w:link w:val="694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7">
    <w:name w:val="Heading 6 Char"/>
    <w:basedOn w:val="699"/>
    <w:link w:val="69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8">
    <w:name w:val="Heading 7 Char"/>
    <w:basedOn w:val="699"/>
    <w:link w:val="69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9">
    <w:name w:val="Heading 8 Char"/>
    <w:basedOn w:val="699"/>
    <w:link w:val="697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0">
    <w:name w:val="Heading 9 Char"/>
    <w:basedOn w:val="699"/>
    <w:link w:val="69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1">
    <w:name w:val="Title Char"/>
    <w:basedOn w:val="699"/>
    <w:link w:val="713"/>
    <w:uiPriority w:val="10"/>
    <w:rPr>
      <w:sz w:val="48"/>
      <w:szCs w:val="48"/>
    </w:rPr>
  </w:style>
  <w:style w:type="character" w:styleId="682">
    <w:name w:val="Subtitle Char"/>
    <w:basedOn w:val="699"/>
    <w:link w:val="715"/>
    <w:uiPriority w:val="11"/>
    <w:rPr>
      <w:sz w:val="24"/>
      <w:szCs w:val="24"/>
    </w:rPr>
  </w:style>
  <w:style w:type="character" w:styleId="683">
    <w:name w:val="Quote Char"/>
    <w:link w:val="717"/>
    <w:uiPriority w:val="29"/>
    <w:rPr>
      <w:i/>
    </w:rPr>
  </w:style>
  <w:style w:type="character" w:styleId="684">
    <w:name w:val="Intense Quote Char"/>
    <w:link w:val="719"/>
    <w:uiPriority w:val="30"/>
    <w:rPr>
      <w:i/>
    </w:rPr>
  </w:style>
  <w:style w:type="character" w:styleId="685">
    <w:name w:val="Header Char"/>
    <w:basedOn w:val="699"/>
    <w:link w:val="721"/>
    <w:uiPriority w:val="99"/>
  </w:style>
  <w:style w:type="character" w:styleId="686">
    <w:name w:val="Caption Char"/>
    <w:basedOn w:val="699"/>
    <w:link w:val="725"/>
    <w:uiPriority w:val="35"/>
    <w:rPr>
      <w:b/>
      <w:bCs/>
      <w:color w:val="4f81bd" w:themeColor="accent1"/>
      <w:sz w:val="18"/>
      <w:szCs w:val="18"/>
    </w:rPr>
  </w:style>
  <w:style w:type="character" w:styleId="687">
    <w:name w:val="Footnote Text Char"/>
    <w:link w:val="854"/>
    <w:uiPriority w:val="99"/>
    <w:rPr>
      <w:sz w:val="18"/>
    </w:rPr>
  </w:style>
  <w:style w:type="character" w:styleId="688">
    <w:name w:val="Endnote Text Char"/>
    <w:link w:val="857"/>
    <w:uiPriority w:val="99"/>
    <w:rPr>
      <w:sz w:val="20"/>
    </w:rPr>
  </w:style>
  <w:style w:type="paragraph" w:styleId="689" w:default="1">
    <w:name w:val="Normal"/>
    <w:qFormat/>
  </w:style>
  <w:style w:type="paragraph" w:styleId="690">
    <w:name w:val="Heading 1"/>
    <w:basedOn w:val="689"/>
    <w:next w:val="689"/>
    <w:link w:val="702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0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0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689"/>
    <w:next w:val="689"/>
    <w:link w:val="70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96">
    <w:name w:val="Heading 7"/>
    <w:basedOn w:val="689"/>
    <w:next w:val="689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97">
    <w:name w:val="Heading 8"/>
    <w:basedOn w:val="689"/>
    <w:next w:val="689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98">
    <w:name w:val="Heading 9"/>
    <w:basedOn w:val="689"/>
    <w:next w:val="689"/>
    <w:link w:val="71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Заголовок 1 Знак"/>
    <w:basedOn w:val="699"/>
    <w:link w:val="690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basedOn w:val="699"/>
    <w:link w:val="691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basedOn w:val="699"/>
    <w:link w:val="692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basedOn w:val="699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basedOn w:val="699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689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after="0" w:line="240" w:lineRule="auto"/>
    </w:pPr>
  </w:style>
  <w:style w:type="paragraph" w:styleId="713">
    <w:name w:val="Title"/>
    <w:basedOn w:val="689"/>
    <w:next w:val="689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 w:customStyle="1">
    <w:name w:val="Заголовок Знак"/>
    <w:basedOn w:val="699"/>
    <w:link w:val="713"/>
    <w:uiPriority w:val="10"/>
    <w:rPr>
      <w:sz w:val="48"/>
      <w:szCs w:val="48"/>
    </w:rPr>
  </w:style>
  <w:style w:type="paragraph" w:styleId="715">
    <w:name w:val="Subtitle"/>
    <w:basedOn w:val="689"/>
    <w:next w:val="689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 w:customStyle="1">
    <w:name w:val="Подзаголовок Знак"/>
    <w:basedOn w:val="699"/>
    <w:link w:val="715"/>
    <w:uiPriority w:val="11"/>
    <w:rPr>
      <w:sz w:val="24"/>
      <w:szCs w:val="24"/>
    </w:rPr>
  </w:style>
  <w:style w:type="paragraph" w:styleId="717">
    <w:name w:val="Quote"/>
    <w:basedOn w:val="689"/>
    <w:next w:val="689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9"/>
    <w:next w:val="689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89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Верхний колонтитул Знак"/>
    <w:basedOn w:val="699"/>
    <w:link w:val="721"/>
    <w:uiPriority w:val="99"/>
  </w:style>
  <w:style w:type="paragraph" w:styleId="723">
    <w:name w:val="Footer"/>
    <w:basedOn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699"/>
    <w:uiPriority w:val="99"/>
  </w:style>
  <w:style w:type="paragraph" w:styleId="725">
    <w:name w:val="Caption"/>
    <w:basedOn w:val="689"/>
    <w:next w:val="689"/>
    <w:link w:val="726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6" w:customStyle="1">
    <w:name w:val="Название объекта Знак"/>
    <w:link w:val="725"/>
    <w:uiPriority w:val="35"/>
  </w:style>
  <w:style w:type="table" w:styleId="727">
    <w:name w:val="Table Grid"/>
    <w:basedOn w:val="70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8" w:customStyle="1">
    <w:name w:val="Table Grid Light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9">
    <w:name w:val="Plain Table 1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70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 w:customStyle="1">
    <w:name w:val="Grid Table 4 - Accent 1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7" w:customStyle="1">
    <w:name w:val="Grid Table 4 - Accent 2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8" w:customStyle="1">
    <w:name w:val="Grid Table 4 - Accent 3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9" w:customStyle="1">
    <w:name w:val="Grid Table 4 - Accent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0" w:customStyle="1">
    <w:name w:val="Grid Table 4 - Accent 5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1" w:customStyle="1">
    <w:name w:val="Grid Table 4 - Accent 6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2">
    <w:name w:val="Grid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9">
    <w:name w:val="Grid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0" w:customStyle="1">
    <w:name w:val="Grid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1" w:customStyle="1">
    <w:name w:val="Grid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2" w:customStyle="1">
    <w:name w:val="Grid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3" w:customStyle="1">
    <w:name w:val="Grid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4" w:customStyle="1">
    <w:name w:val="Grid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5" w:customStyle="1">
    <w:name w:val="Grid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6">
    <w:name w:val="Grid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1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2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6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>
    <w:name w:val="List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9" w:customStyle="1">
    <w:name w:val="List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0" w:customStyle="1">
    <w:name w:val="List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1" w:customStyle="1">
    <w:name w:val="List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2" w:customStyle="1">
    <w:name w:val="List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3" w:customStyle="1">
    <w:name w:val="List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4" w:customStyle="1">
    <w:name w:val="List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5">
    <w:name w:val="List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3" w:customStyle="1">
    <w:name w:val="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4" w:customStyle="1">
    <w:name w:val="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5" w:customStyle="1">
    <w:name w:val="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6" w:customStyle="1">
    <w:name w:val="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7" w:customStyle="1">
    <w:name w:val="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8" w:customStyle="1">
    <w:name w:val="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9" w:customStyle="1">
    <w:name w:val="Bordered &amp; 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0" w:customStyle="1">
    <w:name w:val="Bordered &amp; 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1" w:customStyle="1">
    <w:name w:val="Bordered &amp; 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2" w:customStyle="1">
    <w:name w:val="Bordered &amp; 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3" w:customStyle="1">
    <w:name w:val="Bordered &amp; 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4" w:customStyle="1">
    <w:name w:val="Bordered &amp; 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5" w:customStyle="1">
    <w:name w:val="Bordered &amp; 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6" w:customStyle="1">
    <w:name w:val="Bordered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7" w:customStyle="1">
    <w:name w:val="Bordered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8" w:customStyle="1">
    <w:name w:val="Bordered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9" w:customStyle="1">
    <w:name w:val="Bordered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0" w:customStyle="1">
    <w:name w:val="Bordered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1" w:customStyle="1">
    <w:name w:val="Bordered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2" w:customStyle="1">
    <w:name w:val="Bordered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3">
    <w:name w:val="Hyperlink"/>
    <w:uiPriority w:val="99"/>
    <w:unhideWhenUsed/>
    <w:rPr>
      <w:color w:val="0563c1" w:themeColor="hyperlink"/>
      <w:u w:val="single"/>
    </w:rPr>
  </w:style>
  <w:style w:type="paragraph" w:styleId="854">
    <w:name w:val="footnote text"/>
    <w:basedOn w:val="689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699"/>
    <w:uiPriority w:val="99"/>
    <w:unhideWhenUsed/>
    <w:rPr>
      <w:vertAlign w:val="superscript"/>
    </w:rPr>
  </w:style>
  <w:style w:type="paragraph" w:styleId="857">
    <w:name w:val="endnote text"/>
    <w:basedOn w:val="689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699"/>
    <w:uiPriority w:val="99"/>
    <w:semiHidden/>
    <w:unhideWhenUsed/>
    <w:rPr>
      <w:vertAlign w:val="superscript"/>
    </w:rPr>
  </w:style>
  <w:style w:type="paragraph" w:styleId="860">
    <w:name w:val="toc 1"/>
    <w:basedOn w:val="689"/>
    <w:next w:val="689"/>
    <w:uiPriority w:val="39"/>
    <w:unhideWhenUsed/>
    <w:pPr>
      <w:spacing w:after="57"/>
    </w:pPr>
  </w:style>
  <w:style w:type="paragraph" w:styleId="861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62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63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64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65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66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67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68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89"/>
    <w:next w:val="689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42</cp:revision>
  <dcterms:created xsi:type="dcterms:W3CDTF">2024-06-20T09:57:00Z</dcterms:created>
  <dcterms:modified xsi:type="dcterms:W3CDTF">2026-10-09T05:59:10Z</dcterms:modified>
</cp:coreProperties>
</file>