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02.10.2026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1"/>
        <w:ind w:left="0" w:right="0" w:firstLine="0"/>
        <w:jc w:val="center"/>
        <w:spacing w:line="240" w:lineRule="auto"/>
        <w:rPr>
          <w:rFonts w:ascii="Tinos" w:hAnsi="Tinos" w:eastAsia="Tinos" w:cs="Tinos"/>
          <w:b/>
          <w:bCs/>
          <w:color w:val="04092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Совещание по мобилизации </w:t>
      </w:r>
      <w:r>
        <w:rPr>
          <w:rFonts w:ascii="Tinos" w:hAnsi="Tinos" w:eastAsia="Tinos" w:cs="Tinos"/>
          <w:b/>
          <w:bCs/>
          <w:color w:val="04092a"/>
          <w:sz w:val="28"/>
          <w:szCs w:val="28"/>
        </w:rPr>
        <w:t xml:space="preserve">доходов </w:t>
      </w:r>
      <w:r>
        <w:rPr>
          <w:rFonts w:ascii="Tinos" w:hAnsi="Tinos" w:eastAsia="Tinos" w:cs="Tinos"/>
          <w:b/>
          <w:bCs/>
          <w:color w:val="04092a"/>
          <w:sz w:val="28"/>
          <w:szCs w:val="28"/>
        </w:rPr>
        <w:t xml:space="preserve">консолидированного бюджета </w:t>
      </w:r>
      <w:r>
        <w:rPr>
          <w:rFonts w:ascii="Tinos" w:hAnsi="Tinos" w:eastAsia="Tinos" w:cs="Tinos"/>
          <w:b/>
          <w:bCs/>
          <w:color w:val="04092a"/>
          <w:sz w:val="28"/>
          <w:szCs w:val="28"/>
        </w:rPr>
      </w:r>
      <w:r>
        <w:rPr>
          <w:rFonts w:ascii="Tinos" w:hAnsi="Tinos" w:eastAsia="Tinos" w:cs="Tinos"/>
          <w:b/>
          <w:bCs/>
          <w:color w:val="04092a"/>
          <w:sz w:val="28"/>
          <w:szCs w:val="28"/>
        </w:rPr>
      </w:r>
    </w:p>
    <w:p>
      <w:pPr>
        <w:pStyle w:val="691"/>
        <w:ind w:left="0" w:right="0" w:firstLine="0"/>
        <w:jc w:val="center"/>
        <w:spacing w:line="240" w:lineRule="auto"/>
        <w:rPr>
          <w:rFonts w:ascii="Tinos" w:hAnsi="Tinos" w:eastAsia="Tinos" w:cs="Tinos"/>
          <w:b/>
          <w:bCs/>
          <w:color w:val="04092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4092a"/>
          <w:sz w:val="28"/>
          <w:szCs w:val="28"/>
        </w:rPr>
        <w:t xml:space="preserve">Самарской области</w:t>
      </w:r>
      <w:r>
        <w:rPr>
          <w:rFonts w:ascii="Tinos" w:hAnsi="Tinos" w:eastAsia="Tinos" w:cs="Tinos"/>
          <w:b/>
          <w:bCs/>
          <w:color w:val="04092a"/>
          <w:sz w:val="28"/>
          <w:szCs w:val="28"/>
        </w:rPr>
      </w:r>
      <w:r>
        <w:rPr>
          <w:rFonts w:ascii="Tinos" w:hAnsi="Tinos" w:eastAsia="Tinos" w:cs="Tinos"/>
          <w:b/>
          <w:bCs/>
          <w:color w:val="04092a"/>
          <w:sz w:val="28"/>
          <w:szCs w:val="28"/>
        </w:rPr>
      </w:r>
    </w:p>
    <w:p>
      <w:pPr>
        <w:ind w:left="0" w:right="0" w:firstLine="850"/>
        <w:jc w:val="both"/>
        <w:spacing w:before="480" w:after="0" w:line="360" w:lineRule="auto"/>
        <w:shd w:val="clear" w:color="ffffff" w:fill="ffffff"/>
        <w:rPr>
          <w:rFonts w:ascii="Tinos" w:hAnsi="Tinos" w:cs="Tinos"/>
          <w:b/>
          <w:bCs/>
          <w:color w:val="04092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4092a"/>
          <w:sz w:val="28"/>
          <w:szCs w:val="28"/>
        </w:rPr>
      </w:r>
      <w:r>
        <w:rPr>
          <w:rFonts w:ascii="Tinos" w:hAnsi="Tinos" w:eastAsia="Tinos" w:cs="Tinos"/>
          <w:color w:val="04092a"/>
          <w:sz w:val="28"/>
          <w:szCs w:val="28"/>
        </w:rPr>
        <w:t xml:space="preserve">В Правительстве Самарской области состоялось заседание межведомственной комиссии по мобилизации доходов консолидированного бюджета Самарской области </w:t>
      </w:r>
      <w:r>
        <w:rPr>
          <w:rFonts w:ascii="Tinos" w:hAnsi="Tinos" w:eastAsia="Tinos" w:cs="Tinos"/>
          <w:color w:val="04092a"/>
          <w:sz w:val="28"/>
          <w:szCs w:val="28"/>
        </w:rPr>
        <w:t xml:space="preserve">под председательством заместителя председателя Правительства региона – министра финансов Самарской области </w:t>
      </w:r>
      <w:r>
        <w:rPr>
          <w:rFonts w:ascii="Tinos" w:hAnsi="Tinos" w:eastAsia="Tinos" w:cs="Tinos"/>
          <w:b/>
          <w:bCs/>
          <w:color w:val="04092a"/>
          <w:sz w:val="28"/>
          <w:szCs w:val="28"/>
        </w:rPr>
        <w:t xml:space="preserve">Ольги Собещанской.</w:t>
      </w:r>
      <w:r>
        <w:rPr>
          <w:rFonts w:ascii="Tinos" w:hAnsi="Tinos" w:eastAsia="Tinos" w:cs="Tinos"/>
          <w:b/>
          <w:bCs/>
          <w:color w:val="04092a"/>
          <w:sz w:val="28"/>
          <w:szCs w:val="28"/>
        </w:rPr>
        <w:t xml:space="preserve"> </w:t>
      </w:r>
      <w:r>
        <w:rPr>
          <w:rFonts w:ascii="Tinos" w:hAnsi="Tinos" w:eastAsia="Tinos" w:cs="Tinos"/>
          <w:color w:val="04092a"/>
          <w:sz w:val="28"/>
          <w:szCs w:val="28"/>
        </w:rPr>
        <w:t xml:space="preserve">В мероприятии приняла участие заместитель руководителя самарского Росреестра </w:t>
      </w:r>
      <w:r>
        <w:rPr>
          <w:rFonts w:ascii="Tinos" w:hAnsi="Tinos" w:eastAsia="Tinos" w:cs="Tinos"/>
          <w:b/>
          <w:bCs/>
          <w:color w:val="04092a"/>
          <w:sz w:val="28"/>
          <w:szCs w:val="28"/>
        </w:rPr>
        <w:t xml:space="preserve">Татьяна Титова.</w:t>
      </w:r>
      <w:r>
        <w:rPr>
          <w:rFonts w:ascii="Tinos" w:hAnsi="Tinos" w:cs="Tinos"/>
          <w:b/>
          <w:bCs/>
          <w:color w:val="04092a"/>
          <w:sz w:val="28"/>
          <w:szCs w:val="28"/>
        </w:rPr>
      </w:r>
      <w:r>
        <w:rPr>
          <w:rFonts w:ascii="Tinos" w:hAnsi="Tinos" w:cs="Tinos"/>
          <w:b/>
          <w:bCs/>
          <w:color w:val="04092a"/>
          <w:sz w:val="28"/>
          <w:szCs w:val="28"/>
        </w:rPr>
      </w:r>
    </w:p>
    <w:p>
      <w:pPr>
        <w:ind w:left="0" w:right="0" w:firstLine="850"/>
        <w:jc w:val="both"/>
        <w:spacing w:before="480" w:after="0" w:line="360" w:lineRule="auto"/>
        <w:shd w:val="clear" w:color="ffffff" w:fill="ffffff"/>
        <w:rPr>
          <w:rFonts w:ascii="Tinos" w:hAnsi="Tinos" w:eastAsia="Tinos" w:cs="Tinos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4092a"/>
          <w:sz w:val="28"/>
          <w:szCs w:val="28"/>
        </w:rPr>
      </w:r>
      <w:r>
        <w:rPr>
          <w:rFonts w:ascii="Tinos" w:hAnsi="Tinos" w:eastAsia="Tinos" w:cs="Tinos"/>
          <w:color w:val="04092a"/>
          <w:sz w:val="28"/>
          <w:szCs w:val="28"/>
        </w:rPr>
        <w:t xml:space="preserve">В ходе совещания в том числе </w:t>
      </w:r>
      <w:r>
        <w:rPr>
          <w:rFonts w:ascii="Tinos" w:hAnsi="Tinos" w:eastAsia="Tinos" w:cs="Tinos"/>
          <w:color w:val="04092a"/>
          <w:sz w:val="28"/>
          <w:szCs w:val="28"/>
          <w:highlight w:val="white"/>
        </w:rPr>
        <w:t xml:space="preserve">обсуждались вопросы оформления застройщиками объектов капитального строительства</w:t>
      </w:r>
      <w:r>
        <w:rPr>
          <w:rFonts w:ascii="Tinos" w:hAnsi="Tinos" w:eastAsia="Tinos" w:cs="Tinos"/>
          <w:color w:val="04092a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04092a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Во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исполнение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Дорожной карты по реализации мероприятий, направленных н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а повышение капитализации Самарской области до 2030 г.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,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а также в соответствии с Федеральным проектом «Национальная система пространственных данных» по вопросам качества данных ЕГРН и наполнения его необходимыми сведениями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, самарским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Росреестром был проведен анализ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регистрации прав дольщиков на территории Самарской области.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</w:p>
    <w:p>
      <w:pPr>
        <w:ind w:left="0" w:right="0" w:firstLine="850"/>
        <w:jc w:val="both"/>
        <w:spacing w:before="480" w:after="0" w:line="360" w:lineRule="auto"/>
        <w:shd w:val="clear" w:color="ffffff" w:fill="ffffff"/>
        <w:rPr>
          <w:rFonts w:ascii="Tinos" w:hAnsi="Tinos" w:cs="Tinos"/>
          <w:b/>
          <w:bCs/>
          <w:color w:val="04092a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Так,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по состоянию на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01.09.2026 г.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с начала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202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5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года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Управлением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Росреестра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по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Самарской области была осуществлена постановка на государственный кадастровый учет </w:t>
      </w:r>
      <w:r>
        <w:rPr>
          <w:rFonts w:ascii="Tinos" w:hAnsi="Tinos" w:eastAsia="Tinos" w:cs="Tinos"/>
          <w:b/>
          <w:bCs/>
          <w:sz w:val="28"/>
          <w:szCs w:val="28"/>
          <w:highlight w:val="white"/>
        </w:rPr>
        <w:t xml:space="preserve">94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многоквартирных домов,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строительство которых осуществлялось в рамках Закона №214-ФЗ,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с расположенными в них </w:t>
      </w:r>
      <w:r>
        <w:rPr>
          <w:rFonts w:ascii="Tinos" w:hAnsi="Tinos" w:eastAsia="Tinos" w:cs="Tinos"/>
          <w:b/>
          <w:bCs/>
          <w:sz w:val="28"/>
          <w:szCs w:val="28"/>
          <w:highlight w:val="white"/>
        </w:rPr>
        <w:t xml:space="preserve">20 120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помещениями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Н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а </w:t>
      </w:r>
      <w:r>
        <w:rPr>
          <w:rFonts w:ascii="Tinos" w:hAnsi="Tinos" w:eastAsia="Tinos" w:cs="Tinos"/>
          <w:b/>
          <w:bCs/>
          <w:sz w:val="28"/>
          <w:szCs w:val="28"/>
          <w:highlight w:val="white"/>
        </w:rPr>
        <w:t xml:space="preserve">1 761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помещение права не были зарегистрированы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, что составляет </w:t>
      </w:r>
      <w:r>
        <w:rPr>
          <w:rFonts w:ascii="Tinos" w:hAnsi="Tinos" w:eastAsia="Tinos" w:cs="Tinos"/>
          <w:b/>
          <w:bCs/>
          <w:sz w:val="28"/>
          <w:szCs w:val="28"/>
          <w:highlight w:val="white"/>
        </w:rPr>
        <w:t xml:space="preserve">8,8</w:t>
      </w:r>
      <w:r>
        <w:rPr>
          <w:rFonts w:ascii="Tinos" w:hAnsi="Tinos" w:eastAsia="Tinos" w:cs="Tinos"/>
          <w:b/>
          <w:bCs/>
          <w:sz w:val="28"/>
          <w:szCs w:val="28"/>
          <w:highlight w:val="white"/>
        </w:rPr>
        <w:t xml:space="preserve">%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т всех введенных в эксплуатацию и поставленных на кадастровый учет помещений.</w:t>
      </w:r>
      <w:r>
        <w:rPr>
          <w:rFonts w:ascii="Tinos" w:hAnsi="Tinos" w:cs="Tinos"/>
          <w:b/>
          <w:bCs/>
          <w:color w:val="04092a"/>
          <w:sz w:val="28"/>
          <w:szCs w:val="28"/>
          <w14:ligatures w14:val="none"/>
        </w:rPr>
      </w:r>
      <w:r>
        <w:rPr>
          <w:rFonts w:ascii="Tinos" w:hAnsi="Tinos" w:cs="Tinos"/>
          <w:b/>
          <w:bCs/>
          <w:color w:val="04092a"/>
          <w:sz w:val="28"/>
          <w:szCs w:val="28"/>
          <w14:ligatures w14:val="none"/>
        </w:rPr>
      </w:r>
    </w:p>
    <w:p>
      <w:pPr>
        <w:ind w:left="0" w:right="0" w:firstLine="850"/>
        <w:jc w:val="both"/>
        <w:spacing w:before="480" w:after="0" w:line="360" w:lineRule="auto"/>
        <w:shd w:val="clear" w:color="ffffff" w:fill="ffffff"/>
        <w:rPr>
          <w:rFonts w:ascii="Tinos" w:hAnsi="Tinos" w:eastAsia="Tinos" w:cs="Tinos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/>
          <w:bCs/>
          <w:color w:val="04092a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Заместитель руководителя самарского Росреестра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Татьяна Титова </w:t>
      </w:r>
      <w:r>
        <w:rPr>
          <w:rFonts w:ascii="Tinos" w:hAnsi="Tinos" w:eastAsia="Tinos" w:cs="Tinos"/>
          <w:sz w:val="28"/>
          <w:szCs w:val="28"/>
        </w:rPr>
        <w:t xml:space="preserve">отметила: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«Наше ведомство</w:t>
      </w: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 регулярно проводит семинары</w:t>
      </w: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для застройщиков, осуществляющих свою дея</w:t>
      </w: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тельность на территории региона, где анализируется статистика по представленным заявлениям на регистраци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ю права собственности.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В соответствии с п. 6, 7 ст. 16 Федерального закона от 30.12.2004 N 214-ФЗ "Об участии в до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левом строительстве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"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после передачи застройщиком объекта долевого строительства участнику долевого строительства, застройщик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в срок не позднее </w:t>
      </w:r>
      <w:r>
        <w:rPr>
          <w:rFonts w:ascii="Tinos" w:hAnsi="Tinos" w:eastAsia="Tinos" w:cs="Tinos"/>
          <w:b/>
          <w:bCs/>
          <w:i/>
          <w:iCs/>
          <w:strike w:val="0"/>
          <w:sz w:val="28"/>
          <w:szCs w:val="28"/>
          <w:highlight w:val="none"/>
        </w:rPr>
        <w:t xml:space="preserve">30 </w:t>
      </w:r>
      <w:r>
        <w:rPr>
          <w:rFonts w:ascii="Tinos" w:hAnsi="Tinos" w:eastAsia="Tinos" w:cs="Tinos"/>
          <w:b/>
          <w:bCs/>
          <w:i/>
          <w:iCs/>
          <w:strike w:val="0"/>
          <w:sz w:val="28"/>
          <w:szCs w:val="28"/>
          <w:highlight w:val="none"/>
        </w:rPr>
        <w:t xml:space="preserve">рабочих дней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 со дня подписания передаточного акта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обязан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 направить в орг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ан регистрации прав заявление о государственной регистрации права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 собственности участника долевого строительства на такой объект в электронной форме.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 В срок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не позднее </w:t>
      </w:r>
      <w:r>
        <w:rPr>
          <w:rFonts w:ascii="Tinos" w:hAnsi="Tinos" w:eastAsia="Tinos" w:cs="Tinos"/>
          <w:b/>
          <w:bCs/>
          <w:i/>
          <w:iCs/>
          <w:strike w:val="0"/>
          <w:sz w:val="28"/>
          <w:szCs w:val="28"/>
          <w:highlight w:val="none"/>
        </w:rPr>
        <w:t xml:space="preserve">6 месяцев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с даты постановки на кадастровый учет МКД з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астройщик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направляет заявления о государственной регистрации права собственности за собой на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объекты недвижимости, создание которых осуществлялось без привлечения средств участников долевого строительства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Исхо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дя из норм законодательства, данные объекты недвижимости должны иметь зарегистрированные права</w:t>
      </w: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  <w:t xml:space="preserve">».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</w:p>
    <w:p>
      <w:pPr>
        <w:ind w:left="0" w:right="0" w:firstLine="425"/>
        <w:jc w:val="both"/>
        <w:spacing w:line="360" w:lineRule="auto"/>
        <w:rPr>
          <w:rFonts w:ascii="Tinos" w:hAnsi="Tinos" w:cs="Tinos"/>
          <w:b/>
          <w:bCs/>
          <w:i/>
          <w:sz w:val="28"/>
          <w:szCs w:val="28"/>
          <w14:ligatures w14:val="none"/>
        </w:rPr>
      </w:pPr>
      <w:r>
        <w:rPr>
          <w:rFonts w:ascii="Tinos" w:hAnsi="Tinos" w:eastAsia="Tinos" w:cs="Tinos"/>
          <w:i/>
          <w:iCs/>
          <w:strike w:val="0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  <w:t xml:space="preserve">В рамках межведомственной комиссии были даны в том числе поручения профильным министерствам по активизации взаимодействия со строительными компаниями по вопросу исполнения обязанности в части регистрации прав собственности в целях </w:t>
      </w:r>
      <w:r>
        <w:rPr>
          <w:rFonts w:ascii="Tinos" w:hAnsi="Tinos" w:eastAsia="Tinos" w:cs="Tinos"/>
          <w:color w:val="04092a"/>
          <w:sz w:val="28"/>
          <w:szCs w:val="28"/>
        </w:rPr>
        <w:t xml:space="preserve">мобилизации доходов консолидированного бюджета Самарской области</w:t>
      </w:r>
      <w:r>
        <w:rPr>
          <w:rFonts w:ascii="Tinos" w:hAnsi="Tinos" w:eastAsia="Tinos" w:cs="Tinos"/>
          <w:color w:val="04092a"/>
          <w:sz w:val="28"/>
          <w:szCs w:val="28"/>
        </w:rPr>
        <w:t xml:space="preserve">.</w:t>
      </w:r>
      <w:r>
        <w:rPr>
          <w:rFonts w:ascii="Tinos" w:hAnsi="Tinos" w:cs="Tinos"/>
          <w:b/>
          <w:bCs/>
          <w:i/>
          <w:sz w:val="28"/>
          <w:szCs w:val="28"/>
          <w14:ligatures w14:val="none"/>
        </w:rPr>
      </w:r>
      <w:r>
        <w:rPr>
          <w:rFonts w:ascii="Tinos" w:hAnsi="Tinos" w:cs="Tinos"/>
          <w:b/>
          <w:bCs/>
          <w:i/>
          <w:sz w:val="28"/>
          <w:szCs w:val="28"/>
          <w14:ligatures w14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2">
    <w:name w:val="Heading 1 Char"/>
    <w:basedOn w:val="699"/>
    <w:link w:val="69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3">
    <w:name w:val="Heading 2 Char"/>
    <w:basedOn w:val="699"/>
    <w:link w:val="691"/>
    <w:uiPriority w:val="9"/>
    <w:rPr>
      <w:rFonts w:ascii="Liberation Sans" w:hAnsi="Liberation Sans" w:eastAsia="Liberation Sans" w:cs="Liberation Sans"/>
      <w:sz w:val="34"/>
    </w:rPr>
  </w:style>
  <w:style w:type="character" w:styleId="674">
    <w:name w:val="Heading 3 Char"/>
    <w:basedOn w:val="699"/>
    <w:link w:val="69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5">
    <w:name w:val="Heading 4 Char"/>
    <w:basedOn w:val="699"/>
    <w:link w:val="69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6">
    <w:name w:val="Heading 5 Char"/>
    <w:basedOn w:val="699"/>
    <w:link w:val="69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7">
    <w:name w:val="Heading 6 Char"/>
    <w:basedOn w:val="699"/>
    <w:link w:val="69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8">
    <w:name w:val="Heading 7 Char"/>
    <w:basedOn w:val="699"/>
    <w:link w:val="69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9">
    <w:name w:val="Heading 8 Char"/>
    <w:basedOn w:val="699"/>
    <w:link w:val="69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0">
    <w:name w:val="Heading 9 Char"/>
    <w:basedOn w:val="699"/>
    <w:link w:val="69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1">
    <w:name w:val="Title Char"/>
    <w:basedOn w:val="699"/>
    <w:link w:val="713"/>
    <w:uiPriority w:val="10"/>
    <w:rPr>
      <w:sz w:val="48"/>
      <w:szCs w:val="48"/>
    </w:rPr>
  </w:style>
  <w:style w:type="character" w:styleId="682">
    <w:name w:val="Subtitle Char"/>
    <w:basedOn w:val="699"/>
    <w:link w:val="715"/>
    <w:uiPriority w:val="11"/>
    <w:rPr>
      <w:sz w:val="24"/>
      <w:szCs w:val="24"/>
    </w:rPr>
  </w:style>
  <w:style w:type="character" w:styleId="683">
    <w:name w:val="Quote Char"/>
    <w:link w:val="717"/>
    <w:uiPriority w:val="29"/>
    <w:rPr>
      <w:i/>
    </w:rPr>
  </w:style>
  <w:style w:type="character" w:styleId="684">
    <w:name w:val="Intense Quote Char"/>
    <w:link w:val="719"/>
    <w:uiPriority w:val="30"/>
    <w:rPr>
      <w:i/>
    </w:rPr>
  </w:style>
  <w:style w:type="character" w:styleId="685">
    <w:name w:val="Header Char"/>
    <w:basedOn w:val="699"/>
    <w:link w:val="721"/>
    <w:uiPriority w:val="99"/>
  </w:style>
  <w:style w:type="character" w:styleId="686">
    <w:name w:val="Caption Char"/>
    <w:basedOn w:val="699"/>
    <w:link w:val="725"/>
    <w:uiPriority w:val="35"/>
    <w:rPr>
      <w:b/>
      <w:bCs/>
      <w:color w:val="4f81bd" w:themeColor="accent1"/>
      <w:sz w:val="18"/>
      <w:szCs w:val="18"/>
    </w:rPr>
  </w:style>
  <w:style w:type="character" w:styleId="687">
    <w:name w:val="Footnote Text Char"/>
    <w:link w:val="854"/>
    <w:uiPriority w:val="99"/>
    <w:rPr>
      <w:sz w:val="18"/>
    </w:rPr>
  </w:style>
  <w:style w:type="character" w:styleId="688">
    <w:name w:val="Endnote Text Char"/>
    <w:link w:val="857"/>
    <w:uiPriority w:val="99"/>
    <w:rPr>
      <w:sz w:val="20"/>
    </w:rPr>
  </w:style>
  <w:style w:type="paragraph" w:styleId="689" w:default="1">
    <w:name w:val="Normal"/>
    <w:qFormat/>
  </w:style>
  <w:style w:type="paragraph" w:styleId="690">
    <w:name w:val="Heading 1"/>
    <w:basedOn w:val="689"/>
    <w:next w:val="689"/>
    <w:link w:val="70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1">
    <w:name w:val="Heading 2"/>
    <w:basedOn w:val="689"/>
    <w:next w:val="689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689"/>
    <w:next w:val="689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6">
    <w:name w:val="Heading 7"/>
    <w:basedOn w:val="689"/>
    <w:next w:val="689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7">
    <w:name w:val="Heading 8"/>
    <w:basedOn w:val="689"/>
    <w:next w:val="689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8">
    <w:name w:val="Heading 9"/>
    <w:basedOn w:val="689"/>
    <w:next w:val="689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Заголовок 1 Знак"/>
    <w:basedOn w:val="699"/>
    <w:link w:val="690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Заголовок 2 Знак"/>
    <w:basedOn w:val="699"/>
    <w:link w:val="691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basedOn w:val="699"/>
    <w:link w:val="692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basedOn w:val="699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basedOn w:val="699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basedOn w:val="69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basedOn w:val="69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basedOn w:val="69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basedOn w:val="69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689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after="0" w:line="240" w:lineRule="auto"/>
    </w:pPr>
  </w:style>
  <w:style w:type="paragraph" w:styleId="713">
    <w:name w:val="Title"/>
    <w:basedOn w:val="689"/>
    <w:next w:val="689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 w:customStyle="1">
    <w:name w:val="Заголовок Знак"/>
    <w:basedOn w:val="699"/>
    <w:link w:val="713"/>
    <w:uiPriority w:val="10"/>
    <w:rPr>
      <w:sz w:val="48"/>
      <w:szCs w:val="48"/>
    </w:rPr>
  </w:style>
  <w:style w:type="paragraph" w:styleId="715">
    <w:name w:val="Subtitle"/>
    <w:basedOn w:val="689"/>
    <w:next w:val="689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 w:customStyle="1">
    <w:name w:val="Подзаголовок Знак"/>
    <w:basedOn w:val="699"/>
    <w:link w:val="715"/>
    <w:uiPriority w:val="11"/>
    <w:rPr>
      <w:sz w:val="24"/>
      <w:szCs w:val="24"/>
    </w:rPr>
  </w:style>
  <w:style w:type="paragraph" w:styleId="717">
    <w:name w:val="Quote"/>
    <w:basedOn w:val="689"/>
    <w:next w:val="689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89"/>
    <w:next w:val="689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paragraph" w:styleId="721">
    <w:name w:val="Header"/>
    <w:basedOn w:val="689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Верхний колонтитул Знак"/>
    <w:basedOn w:val="699"/>
    <w:link w:val="721"/>
    <w:uiPriority w:val="99"/>
  </w:style>
  <w:style w:type="paragraph" w:styleId="723">
    <w:name w:val="Footer"/>
    <w:basedOn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699"/>
    <w:uiPriority w:val="99"/>
  </w:style>
  <w:style w:type="paragraph" w:styleId="725">
    <w:name w:val="Caption"/>
    <w:basedOn w:val="689"/>
    <w:next w:val="689"/>
    <w:link w:val="72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6" w:customStyle="1">
    <w:name w:val="Название объекта Знак"/>
    <w:link w:val="725"/>
    <w:uiPriority w:val="35"/>
  </w:style>
  <w:style w:type="table" w:styleId="727">
    <w:name w:val="Table Grid"/>
    <w:basedOn w:val="70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8" w:customStyle="1">
    <w:name w:val="Table Grid Light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70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7" w:customStyle="1">
    <w:name w:val="Grid Table 4 - Accent 2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8" w:customStyle="1">
    <w:name w:val="Grid Table 4 - Accent 3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9" w:customStyle="1">
    <w:name w:val="Grid Table 4 - Accent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0" w:customStyle="1">
    <w:name w:val="Grid Table 4 - Accent 5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1" w:customStyle="1">
    <w:name w:val="Grid Table 4 - Accent 6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2">
    <w:name w:val="Grid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1" w:customStyle="1">
    <w:name w:val="Grid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2" w:customStyle="1">
    <w:name w:val="Grid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3" w:customStyle="1">
    <w:name w:val="Grid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4" w:customStyle="1">
    <w:name w:val="Grid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 w:customStyle="1">
    <w:name w:val="Grid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6">
    <w:name w:val="Grid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0" w:customStyle="1">
    <w:name w:val="List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1" w:customStyle="1">
    <w:name w:val="List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2" w:customStyle="1">
    <w:name w:val="List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3" w:customStyle="1">
    <w:name w:val="List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4" w:customStyle="1">
    <w:name w:val="List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5">
    <w:name w:val="List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 &amp; 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1" w:customStyle="1">
    <w:name w:val="Bordered &amp; 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Bordered &amp; 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Bordered &amp; 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Bordered &amp; 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5" w:customStyle="1">
    <w:name w:val="Bordered &amp; 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8" w:customStyle="1">
    <w:name w:val="Bordered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9" w:customStyle="1">
    <w:name w:val="Bordered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0" w:customStyle="1">
    <w:name w:val="Bordered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1" w:customStyle="1">
    <w:name w:val="Bordered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2" w:customStyle="1">
    <w:name w:val="Bordered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563c1" w:themeColor="hyperlink"/>
      <w:u w:val="single"/>
    </w:rPr>
  </w:style>
  <w:style w:type="paragraph" w:styleId="854">
    <w:name w:val="footnote text"/>
    <w:basedOn w:val="689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699"/>
    <w:uiPriority w:val="99"/>
    <w:unhideWhenUsed/>
    <w:rPr>
      <w:vertAlign w:val="superscript"/>
    </w:rPr>
  </w:style>
  <w:style w:type="paragraph" w:styleId="857">
    <w:name w:val="endnote text"/>
    <w:basedOn w:val="689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699"/>
    <w:uiPriority w:val="99"/>
    <w:semiHidden/>
    <w:unhideWhenUsed/>
    <w:rPr>
      <w:vertAlign w:val="superscript"/>
    </w:rPr>
  </w:style>
  <w:style w:type="paragraph" w:styleId="860">
    <w:name w:val="toc 1"/>
    <w:basedOn w:val="689"/>
    <w:next w:val="689"/>
    <w:uiPriority w:val="39"/>
    <w:unhideWhenUsed/>
    <w:pPr>
      <w:spacing w:after="57"/>
    </w:pPr>
  </w:style>
  <w:style w:type="paragraph" w:styleId="861">
    <w:name w:val="toc 2"/>
    <w:basedOn w:val="689"/>
    <w:next w:val="689"/>
    <w:uiPriority w:val="39"/>
    <w:unhideWhenUsed/>
    <w:pPr>
      <w:ind w:left="283"/>
      <w:spacing w:after="57"/>
    </w:pPr>
  </w:style>
  <w:style w:type="paragraph" w:styleId="862">
    <w:name w:val="toc 3"/>
    <w:basedOn w:val="689"/>
    <w:next w:val="689"/>
    <w:uiPriority w:val="39"/>
    <w:unhideWhenUsed/>
    <w:pPr>
      <w:ind w:left="567"/>
      <w:spacing w:after="57"/>
    </w:pPr>
  </w:style>
  <w:style w:type="paragraph" w:styleId="863">
    <w:name w:val="toc 4"/>
    <w:basedOn w:val="689"/>
    <w:next w:val="689"/>
    <w:uiPriority w:val="39"/>
    <w:unhideWhenUsed/>
    <w:pPr>
      <w:ind w:left="850"/>
      <w:spacing w:after="57"/>
    </w:pPr>
  </w:style>
  <w:style w:type="paragraph" w:styleId="864">
    <w:name w:val="toc 5"/>
    <w:basedOn w:val="689"/>
    <w:next w:val="689"/>
    <w:uiPriority w:val="39"/>
    <w:unhideWhenUsed/>
    <w:pPr>
      <w:ind w:left="1134"/>
      <w:spacing w:after="57"/>
    </w:pPr>
  </w:style>
  <w:style w:type="paragraph" w:styleId="865">
    <w:name w:val="toc 6"/>
    <w:basedOn w:val="689"/>
    <w:next w:val="689"/>
    <w:uiPriority w:val="39"/>
    <w:unhideWhenUsed/>
    <w:pPr>
      <w:ind w:left="1417"/>
      <w:spacing w:after="57"/>
    </w:pPr>
  </w:style>
  <w:style w:type="paragraph" w:styleId="866">
    <w:name w:val="toc 7"/>
    <w:basedOn w:val="689"/>
    <w:next w:val="689"/>
    <w:uiPriority w:val="39"/>
    <w:unhideWhenUsed/>
    <w:pPr>
      <w:ind w:left="1701"/>
      <w:spacing w:after="57"/>
    </w:pPr>
  </w:style>
  <w:style w:type="paragraph" w:styleId="867">
    <w:name w:val="toc 8"/>
    <w:basedOn w:val="689"/>
    <w:next w:val="689"/>
    <w:uiPriority w:val="39"/>
    <w:unhideWhenUsed/>
    <w:pPr>
      <w:ind w:left="1984"/>
      <w:spacing w:after="57"/>
    </w:pPr>
  </w:style>
  <w:style w:type="paragraph" w:styleId="868">
    <w:name w:val="toc 9"/>
    <w:basedOn w:val="689"/>
    <w:next w:val="689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89"/>
    <w:next w:val="689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42</cp:revision>
  <dcterms:created xsi:type="dcterms:W3CDTF">2024-06-20T09:57:00Z</dcterms:created>
  <dcterms:modified xsi:type="dcterms:W3CDTF">2026-10-02T06:40:40Z</dcterms:modified>
</cp:coreProperties>
</file>