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1"/>
        <w:jc w:val="center"/>
        <w:rPr>
          <w:rFonts w:ascii="Tinos" w:hAnsi="Tinos" w:cs="Tinos"/>
          <w:b/>
          <w:bCs/>
          <w:sz w:val="28"/>
          <w:szCs w:val="28"/>
        </w:rPr>
      </w:pPr>
      <w:r>
        <w:rPr>
          <w:rFonts w:ascii="Tinos" w:hAnsi="Tinos" w:cs="Tinos"/>
          <w:b/>
          <w:bCs/>
          <w:sz w:val="26"/>
          <w:szCs w:val="26"/>
        </w:rPr>
        <w:t xml:space="preserve"> </w:t>
      </w:r>
      <w:r>
        <w:rPr>
          <w:rFonts w:ascii="Tinos" w:hAnsi="Tinos" w:cs="Tinos"/>
          <w:b/>
          <w:bCs/>
          <w:sz w:val="28"/>
          <w:szCs w:val="28"/>
        </w:rPr>
        <w:t xml:space="preserve">Выдача социальных  карт  для обучающихся </w:t>
      </w:r>
      <w:r>
        <w:rPr>
          <w:rFonts w:ascii="Tinos" w:hAnsi="Tinos" w:cs="Tinos"/>
          <w:b/>
          <w:bCs/>
          <w:sz w:val="28"/>
          <w:szCs w:val="28"/>
        </w:rPr>
      </w:r>
      <w:r>
        <w:rPr>
          <w:rFonts w:ascii="Tinos" w:hAnsi="Tinos" w:cs="Tinos"/>
          <w:b/>
          <w:bCs/>
          <w:sz w:val="28"/>
          <w:szCs w:val="28"/>
        </w:rPr>
      </w:r>
    </w:p>
    <w:p>
      <w:pPr>
        <w:pStyle w:val="861"/>
        <w:jc w:val="center"/>
        <w:rPr>
          <w:rFonts w:ascii="Tinos" w:hAnsi="Tinos" w:cs="Tinos"/>
          <w:b/>
          <w:bCs/>
          <w:sz w:val="28"/>
          <w:szCs w:val="28"/>
        </w:rPr>
      </w:pPr>
      <w:r>
        <w:rPr>
          <w:rFonts w:ascii="Tinos" w:hAnsi="Tinos" w:cs="Tinos"/>
          <w:b/>
          <w:bCs/>
          <w:sz w:val="28"/>
          <w:szCs w:val="28"/>
        </w:rPr>
        <w:t xml:space="preserve">общеобразовательных организаций из многодетных семей</w:t>
      </w:r>
      <w:r>
        <w:rPr>
          <w:rFonts w:ascii="Tinos" w:hAnsi="Tinos" w:cs="Tinos"/>
          <w:b/>
          <w:bCs/>
          <w:sz w:val="28"/>
          <w:szCs w:val="28"/>
        </w:rPr>
      </w:r>
      <w:r>
        <w:rPr>
          <w:rFonts w:ascii="Tinos" w:hAnsi="Tinos" w:cs="Tinos"/>
          <w:b/>
          <w:bCs/>
          <w:sz w:val="28"/>
          <w:szCs w:val="28"/>
        </w:rPr>
      </w:r>
    </w:p>
    <w:p>
      <w:pPr>
        <w:pStyle w:val="861"/>
        <w:jc w:val="center"/>
        <w:rPr>
          <w:highlight w:val="none"/>
        </w:rPr>
      </w:pPr>
      <w:r>
        <w:rPr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  <w:t xml:space="preserve">(дополнительная МСП многодетным семьям)</w:t>
      </w:r>
      <w:r>
        <w:rPr>
          <w:highlight w:val="none"/>
        </w:rPr>
      </w:r>
      <w:r>
        <w:rPr>
          <w:highlight w:val="none"/>
        </w:rPr>
      </w:r>
    </w:p>
    <w:p>
      <w:pPr>
        <w:pStyle w:val="861"/>
        <w:jc w:val="center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tbl>
      <w:tblPr>
        <w:tblStyle w:val="714"/>
        <w:tblW w:w="0" w:type="auto"/>
        <w:tblInd w:w="-142" w:type="dxa"/>
        <w:tblLayout w:type="fixed"/>
        <w:tblLook w:val="04A0" w:firstRow="1" w:lastRow="0" w:firstColumn="1" w:lastColumn="0" w:noHBand="0" w:noVBand="1"/>
      </w:tblPr>
      <w:tblGrid>
        <w:gridCol w:w="1701"/>
        <w:gridCol w:w="8895"/>
      </w:tblGrid>
      <w:tr>
        <w:tblPrEx/>
        <w:trPr/>
        <w:tc>
          <w:tcPr>
            <w:tcW w:w="1701" w:type="dxa"/>
            <w:textDirection w:val="lrTb"/>
            <w:noWrap w:val="false"/>
          </w:tcPr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  <w:t xml:space="preserve">Норматив</w:t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  <w:t xml:space="preserve">ные акты</w:t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</w:tc>
        <w:tc>
          <w:tcPr>
            <w:tcW w:w="8895" w:type="dxa"/>
            <w:textDirection w:val="lrTb"/>
            <w:noWrap w:val="false"/>
          </w:tcPr>
          <w:p>
            <w:pPr>
              <w:jc w:val="both"/>
              <w:rPr>
                <w:rFonts w:ascii="Tinos" w:hAnsi="Tinos" w:cs="Tinos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Постановление Правительства Самарской области  от 26.04.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2024 № 303 «Об отдельных вопросах реализации Закона Самарской области от 16.07.2004 № 122-ГД « О государственной поддержке граждан, имеющих детей»</w:t>
            </w:r>
            <w:r>
              <w:rPr>
                <w:rFonts w:ascii="Tinos" w:hAnsi="Tinos" w:cs="Tinos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1701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  <w:t xml:space="preserve">О карте </w:t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</w:tc>
        <w:tc>
          <w:tcPr>
            <w:tcW w:w="8895" w:type="dxa"/>
            <w:vMerge w:val="restart"/>
            <w:textDirection w:val="lrTb"/>
            <w:noWrap w:val="false"/>
          </w:tcPr>
          <w:p>
            <w:pPr>
              <w:pStyle w:val="861"/>
              <w:jc w:val="both"/>
              <w:rPr>
                <w:rFonts w:ascii="Tinos" w:hAnsi="Tinos" w:cs="Tinos"/>
                <w:b/>
                <w:bCs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Социальная карта - это именная пластиковая карта, которая предназначена  для реализации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бесплатного проезда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автомобильным транспортом (за  исключением такси) в городском и пригородном сообщении, городским  наземным электрическим транспортом и метрополитено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м в пределах территории Самарской области. Визуальный признак  карты </w:t>
            </w:r>
            <w:r>
              <w:rPr>
                <w:rFonts w:ascii="Tinos" w:hAnsi="Tinos" w:eastAsia="Tinos" w:cs="Tinos"/>
                <w:b/>
                <w:bCs/>
                <w:sz w:val="24"/>
                <w:szCs w:val="24"/>
              </w:rPr>
              <w:t xml:space="preserve">«Бесплатный проезд школьников из многодетных семей» </w:t>
            </w:r>
            <w:r>
              <w:rPr>
                <w:rFonts w:ascii="Tinos" w:hAnsi="Tinos" w:cs="Tinos"/>
                <w:b/>
                <w:bCs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nos" w:hAnsi="Tinos" w:cs="Tinos"/>
                <w:b/>
                <w:bCs/>
                <w:sz w:val="24"/>
                <w:szCs w:val="24"/>
                <w:highlight w:val="none"/>
                <w14:ligatures w14:val="none"/>
              </w:rPr>
            </w:r>
          </w:p>
        </w:tc>
      </w:tr>
      <w:tr>
        <w:tblPrEx/>
        <w:trPr/>
        <w:tc>
          <w:tcPr>
            <w:tcW w:w="1701" w:type="dxa"/>
            <w:textDirection w:val="lrTb"/>
            <w:noWrap w:val="false"/>
          </w:tcPr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  <w:t xml:space="preserve">Условия выдачи карты</w:t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</w:tc>
        <w:tc>
          <w:tcPr>
            <w:tcW w:w="8895" w:type="dxa"/>
            <w:textDirection w:val="lrTb"/>
            <w:noWrap w:val="false"/>
          </w:tcPr>
          <w:p>
            <w:pPr>
              <w:pStyle w:val="864"/>
              <w:ind w:firstLine="708"/>
              <w:jc w:val="both"/>
              <w:spacing w:after="0" w:afterAutospacing="0"/>
              <w:rPr>
                <w:rFonts w:ascii="Tinos" w:hAnsi="Tinos" w:eastAsia="Tinos" w:cs="Tinos"/>
                <w:sz w:val="24"/>
                <w:szCs w:val="24"/>
              </w:rPr>
            </w:pPr>
            <w:r>
              <w:rPr>
                <w:rFonts w:ascii="Tinos" w:hAnsi="Tinos" w:eastAsia="Tinos" w:cs="Tinos"/>
                <w:sz w:val="24"/>
                <w:szCs w:val="24"/>
              </w:rPr>
              <w:t xml:space="preserve">  </w:t>
            </w:r>
            <w:r>
              <w:rPr>
                <w:rFonts w:ascii="Tinos" w:hAnsi="Tinos" w:eastAsia="Tinos" w:cs="Tinos"/>
                <w:b/>
                <w:bCs/>
                <w:sz w:val="24"/>
                <w:szCs w:val="24"/>
                <w:u w:val="single"/>
              </w:rPr>
              <w:t xml:space="preserve">Под многодетной семьей в Самарской области понимается семья</w:t>
            </w:r>
            <w:r>
              <w:rPr>
                <w:rFonts w:ascii="Tinos" w:hAnsi="Tinos" w:eastAsia="Tinos" w:cs="Tinos"/>
                <w:b/>
                <w:bCs/>
                <w:sz w:val="24"/>
                <w:szCs w:val="24"/>
              </w:rPr>
              <w:t xml:space="preserve">,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 все члены которой являются  граж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данами Российской Федерации, проживающая на территории Самарской  области, </w:t>
            </w:r>
            <w:r>
              <w:rPr>
                <w:rFonts w:ascii="Tinos" w:hAnsi="Tinos" w:eastAsia="Tinos" w:cs="Tinos"/>
                <w:b/>
                <w:bCs/>
                <w:sz w:val="24"/>
                <w:szCs w:val="24"/>
                <w:u w:val="single"/>
              </w:rPr>
              <w:t xml:space="preserve">имеющая трех и более детей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 (включая рожденных (усыновленных),  приемных и (или) находящихся под опекой (попе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чительством) </w:t>
            </w:r>
            <w:r>
              <w:rPr>
                <w:rFonts w:ascii="Tinos" w:hAnsi="Tinos" w:eastAsia="Tinos" w:cs="Tinos"/>
                <w:b/>
                <w:bCs/>
                <w:sz w:val="24"/>
                <w:szCs w:val="24"/>
                <w:u w:val="single"/>
              </w:rPr>
              <w:t xml:space="preserve">в возрасте до  18 лет и (или) 23 лет при условии их обучения</w:t>
            </w:r>
            <w:r>
              <w:rPr>
                <w:rFonts w:ascii="Tinos" w:hAnsi="Tinos" w:eastAsia="Tinos" w:cs="Tinos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в  организации, осуществляющей образовательную деятельность, </w:t>
            </w:r>
            <w:r>
              <w:rPr>
                <w:rFonts w:ascii="Tinos" w:hAnsi="Tinos" w:eastAsia="Tinos" w:cs="Tinos"/>
                <w:b/>
                <w:bCs/>
                <w:sz w:val="24"/>
                <w:szCs w:val="24"/>
                <w:u w:val="single"/>
              </w:rPr>
              <w:t xml:space="preserve">по очной форме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 обучения</w:t>
            </w:r>
            <w:r>
              <w:rPr>
                <w:rFonts w:ascii="Tinos" w:hAnsi="Tinos" w:eastAsia="Tinos" w:cs="Tinos"/>
                <w:b/>
                <w:bCs/>
                <w:sz w:val="24"/>
                <w:szCs w:val="24"/>
                <w:u w:val="single"/>
              </w:rPr>
              <w:t xml:space="preserve"> или участия в специальной военной операции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на территориях Укр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аины, Донецкой Народной Республики, Луганской Народной Республики, Запорожской области и Херсонской области, а также в случае признания их в результате участия в специальной военной операции инвалидами в установленном действующим законодательством порядке.</w:t>
            </w:r>
            <w:r>
              <w:rPr>
                <w:rFonts w:ascii="Tinos" w:hAnsi="Tinos" w:eastAsia="Tinos" w:cs="Tinos"/>
                <w:sz w:val="24"/>
                <w:szCs w:val="24"/>
              </w:rPr>
            </w:r>
            <w:r>
              <w:rPr>
                <w:rFonts w:ascii="Tinos" w:hAnsi="Tinos" w:eastAsia="Tinos" w:cs="Tinos"/>
                <w:sz w:val="24"/>
                <w:szCs w:val="24"/>
              </w:rPr>
            </w:r>
          </w:p>
          <w:p>
            <w:pPr>
              <w:pStyle w:val="861"/>
              <w:jc w:val="both"/>
              <w:rPr>
                <w:rFonts w:ascii="Tinos" w:hAnsi="Tinos" w:eastAsia="Tinos" w:cs="Tinos"/>
                <w:sz w:val="24"/>
                <w:szCs w:val="24"/>
              </w:rPr>
            </w:pPr>
            <w:r>
              <w:rPr>
                <w:rFonts w:ascii="Tinos" w:hAnsi="Tinos" w:eastAsia="Tinos" w:cs="Tinos"/>
                <w:sz w:val="24"/>
                <w:szCs w:val="24"/>
              </w:rPr>
              <w:t xml:space="preserve">          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Выдача социальной карты осуществляется на основании </w:t>
            </w:r>
            <w:hyperlink w:tooltip="#P140" w:anchor="P140" w:history="1">
              <w:r>
                <w:rPr>
                  <w:rFonts w:ascii="Tinos" w:hAnsi="Tinos" w:eastAsia="Tinos" w:cs="Tinos"/>
                  <w:color w:val="0000ff"/>
                  <w:sz w:val="24"/>
                  <w:szCs w:val="24"/>
                </w:rPr>
                <w:t xml:space="preserve">заявления</w:t>
              </w:r>
            </w:hyperlink>
            <w:r>
              <w:rPr>
                <w:rFonts w:ascii="Tinos" w:hAnsi="Tinos" w:eastAsia="Tinos" w:cs="Tinos"/>
                <w:sz w:val="24"/>
                <w:szCs w:val="24"/>
              </w:rPr>
              <w:t xml:space="preserve"> одного из родителей (усыновителей, приемных родителей, опекунов (попечителей) при наличии документов, подтверждающих их полномочия) в отношении ребенка (детей), являющегося(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ихся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) обучающимся(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ися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) в общеобразовательной организации (далее соответственно - заявление, заявитель), </w:t>
            </w:r>
            <w:hyperlink w:tooltip="#P590" w:anchor="P590" w:history="1">
              <w:r>
                <w:rPr>
                  <w:rFonts w:ascii="Tinos" w:hAnsi="Tinos" w:eastAsia="Tinos" w:cs="Tinos"/>
                  <w:color w:val="0000ff"/>
                  <w:sz w:val="24"/>
                  <w:szCs w:val="24"/>
                </w:rPr>
                <w:t xml:space="preserve">согласия</w:t>
              </w:r>
            </w:hyperlink>
            <w:r>
              <w:rPr>
                <w:rFonts w:ascii="Tinos" w:hAnsi="Tinos" w:eastAsia="Tinos" w:cs="Tinos"/>
                <w:sz w:val="24"/>
                <w:szCs w:val="24"/>
              </w:rPr>
              <w:t xml:space="preserve"> на обработ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ку персональных данных.</w:t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</w:r>
            <w:r>
              <w:rPr>
                <w:rFonts w:ascii="Tinos" w:hAnsi="Tinos" w:eastAsia="Tinos" w:cs="Tinos"/>
                <w:sz w:val="24"/>
                <w:szCs w:val="24"/>
              </w:rPr>
            </w:r>
          </w:p>
          <w:p>
            <w:pPr>
              <w:pStyle w:val="861"/>
              <w:jc w:val="both"/>
              <w:rPr>
                <w:rFonts w:ascii="Tinos" w:hAnsi="Tinos" w:eastAsia="Tinos" w:cs="Tinos"/>
                <w:sz w:val="24"/>
                <w:szCs w:val="24"/>
                <w:highlight w:val="none"/>
              </w:rPr>
            </w:pPr>
            <w:r>
              <w:rPr>
                <w:rFonts w:ascii="Tinos" w:hAnsi="Tinos" w:eastAsia="Tinos" w:cs="Tinos"/>
                <w:sz w:val="24"/>
                <w:szCs w:val="24"/>
              </w:rPr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     Срок действия социальной карты определяется наличием у семьи статуса многодетной,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 а также фактом обучения держателя социальной карт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ы в образовательной организации.</w:t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</w:r>
          </w:p>
          <w:p>
            <w:pPr>
              <w:pStyle w:val="861"/>
              <w:jc w:val="both"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ascii="Tinos" w:hAnsi="Tinos" w:eastAsia="Tinos" w:cs="Tinos"/>
                <w:sz w:val="24"/>
                <w:szCs w:val="24"/>
              </w:rPr>
              <w:t xml:space="preserve">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     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Заявитель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 уведомляет Управление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 об изменении персональных данных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держателя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социальной карты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, а также сведений, которые влияют на право получения мер социальной поддержки,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в течение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 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5 рабочих дней с момента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возникновения указанных обстоятел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ьств путем представления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заявления в свободной форме и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подтверждающих документо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в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.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При изменении персональных данных 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 осуществляется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перевыпуск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 социальной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карты в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 течение 30 календарных дней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  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с момента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получения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указанного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уведомления.</w:t>
            </w:r>
            <w:r>
              <w:rPr>
                <w:rFonts w:ascii="Tinos" w:hAnsi="Tinos" w:cs="Tinos"/>
                <w:sz w:val="24"/>
                <w:szCs w:val="24"/>
              </w:rPr>
            </w:r>
            <w:r>
              <w:rPr>
                <w:rFonts w:ascii="Tinos" w:hAnsi="Tinos" w:cs="Tinos"/>
                <w:sz w:val="24"/>
                <w:szCs w:val="24"/>
              </w:rPr>
            </w:r>
          </w:p>
          <w:p>
            <w:pPr>
              <w:pStyle w:val="861"/>
              <w:jc w:val="both"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ascii="Tinos" w:hAnsi="Tinos" w:eastAsia="Tinos" w:cs="Tinos"/>
                <w:sz w:val="24"/>
                <w:szCs w:val="24"/>
              </w:rPr>
              <w:t xml:space="preserve">       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Управление ежегодно в срок до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1 сентября текущего года запрашивает 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сведения, подтверждающие факт обучения держателей(я) социальных(ой) карт(ы) в общеобразовательных(ой) организациях(и) и (или) факт обучения члена семьи держателей(я) социальных(ой) карт(ы)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  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в организациях(и), осуществляющих(ей) образовательную деятельность, 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по очной форме обучения до достижения ими (им) возраста 23 лет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.</w:t>
            </w:r>
            <w:r>
              <w:rPr>
                <w:rFonts w:ascii="Tinos" w:hAnsi="Tinos" w:cs="Tinos"/>
                <w:sz w:val="24"/>
                <w:szCs w:val="24"/>
              </w:rPr>
            </w:r>
            <w:r>
              <w:rPr>
                <w:rFonts w:ascii="Tinos" w:hAnsi="Tinos" w:cs="Tinos"/>
                <w:sz w:val="24"/>
                <w:szCs w:val="24"/>
              </w:rPr>
            </w:r>
          </w:p>
          <w:p>
            <w:pPr>
              <w:pStyle w:val="861"/>
              <w:jc w:val="both"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ascii="Tinos" w:hAnsi="Tinos" w:eastAsia="Tinos" w:cs="Tinos"/>
                <w:sz w:val="24"/>
                <w:szCs w:val="24"/>
              </w:rPr>
              <w:t xml:space="preserve">        Заявитель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вправе ежегодно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 в срок до 1 сентября текущего года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самостоятельно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представ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ить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указанные сведения.</w:t>
            </w:r>
            <w:r>
              <w:rPr>
                <w:rFonts w:ascii="Tinos" w:hAnsi="Tinos" w:cs="Tinos"/>
                <w:sz w:val="24"/>
                <w:szCs w:val="24"/>
              </w:rPr>
            </w:r>
            <w:r>
              <w:rPr>
                <w:rFonts w:ascii="Tinos" w:hAnsi="Tinos" w:cs="Tinos"/>
                <w:sz w:val="24"/>
                <w:szCs w:val="24"/>
              </w:rPr>
            </w:r>
          </w:p>
        </w:tc>
      </w:tr>
      <w:tr>
        <w:tblPrEx/>
        <w:trPr>
          <w:trHeight w:val="229"/>
        </w:trPr>
        <w:tc>
          <w:tcPr>
            <w:tcW w:w="1701" w:type="dxa"/>
            <w:textDirection w:val="lrTb"/>
            <w:noWrap w:val="false"/>
          </w:tcPr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  <w:t xml:space="preserve">Способ подачи заявления</w:t>
            </w: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8895" w:type="dxa"/>
            <w:textDirection w:val="lrTb"/>
            <w:noWrap w:val="false"/>
          </w:tcPr>
          <w:p>
            <w:pPr>
              <w:jc w:val="both"/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  <w:t xml:space="preserve">Лично, либо через социальный порт</w:t>
            </w: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  <w:t xml:space="preserve">ал  c  сайта министерства выбрав блок «Подача заявлений» в блоке «Прочие»  выбрав  строку «прочие» в блоке «Услуга» выбрав  «Предоставление социальной карты обучающимся  общеобразовательных организаций из многодетных семей на территории Самарской области» </w:t>
            </w: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1701" w:type="dxa"/>
            <w:textDirection w:val="lrTb"/>
            <w:noWrap w:val="false"/>
          </w:tcPr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  <w:t xml:space="preserve">Необходи-мые документы (сведения) в зависимости  от жизненной ситуации</w:t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  <w:t xml:space="preserve"> </w:t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jc w:val="left"/>
              <w:rPr>
                <w:rFonts w:ascii="Tinos" w:hAnsi="Tinos" w:eastAsia="Tinos" w:cs="Tinos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nos" w:hAnsi="Tinos" w:eastAsia="Tinos" w:cs="Tinos"/>
                <w:b/>
                <w:bCs/>
                <w:sz w:val="24"/>
                <w:szCs w:val="24"/>
                <w:highlight w:val="none"/>
              </w:rPr>
              <w:t xml:space="preserve">Сведения со знаком «*» заявитель предостав</w:t>
            </w:r>
            <w:r>
              <w:rPr>
                <w:rFonts w:ascii="Tinos" w:hAnsi="Tinos" w:eastAsia="Tinos" w:cs="Tinos"/>
                <w:b/>
                <w:bCs/>
                <w:sz w:val="24"/>
                <w:szCs w:val="24"/>
                <w:highlight w:val="none"/>
              </w:rPr>
            </w:r>
            <w:r>
              <w:rPr>
                <w:rFonts w:ascii="Tinos" w:hAnsi="Tinos" w:eastAsia="Tinos" w:cs="Tinos"/>
                <w:b/>
                <w:bCs/>
                <w:sz w:val="24"/>
                <w:szCs w:val="24"/>
                <w:highlight w:val="none"/>
              </w:rPr>
            </w:r>
          </w:p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nos" w:hAnsi="Tinos" w:eastAsia="Tinos" w:cs="Tinos"/>
                <w:b/>
                <w:bCs/>
                <w:sz w:val="24"/>
                <w:szCs w:val="24"/>
                <w:highlight w:val="none"/>
              </w:rPr>
              <w:t xml:space="preserve">ляет самостоятельно</w:t>
            </w: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  <w:t xml:space="preserve">  в течение 7 рабочих дней со дня подачи заявления</w:t>
            </w: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8895" w:type="dxa"/>
            <w:textDirection w:val="lrTb"/>
            <w:noWrap w:val="false"/>
          </w:tcPr>
          <w:p>
            <w:pPr>
              <w:ind w:left="0" w:right="0" w:firstLine="0"/>
              <w:jc w:val="both"/>
              <w:rPr>
                <w:rFonts w:ascii="Tinos" w:hAnsi="Tinos" w:cs="Tinos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nos" w:hAnsi="Tinos" w:eastAsia="Tinos" w:cs="Tinos"/>
                <w:b/>
                <w:bCs/>
                <w:sz w:val="24"/>
                <w:szCs w:val="24"/>
                <w:highlight w:val="none"/>
              </w:rPr>
              <w:t xml:space="preserve">     </w:t>
            </w:r>
            <w:r>
              <w:rPr>
                <w:rFonts w:ascii="Tinos" w:hAnsi="Tinos" w:eastAsia="Tinos" w:cs="Tinos"/>
                <w:b/>
                <w:bCs/>
                <w:sz w:val="24"/>
                <w:szCs w:val="24"/>
                <w:highlight w:val="none"/>
              </w:rPr>
              <w:t xml:space="preserve">  </w:t>
            </w:r>
            <w:r>
              <w:rPr>
                <w:rFonts w:ascii="Tinos" w:hAnsi="Tinos" w:eastAsia="Tinos" w:cs="Tinos"/>
                <w:b/>
                <w:bCs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nos" w:hAnsi="Tinos" w:eastAsia="Tinos" w:cs="Tinos"/>
                <w:b/>
                <w:bCs/>
                <w:sz w:val="24"/>
                <w:szCs w:val="24"/>
                <w:highlight w:val="none"/>
              </w:rPr>
              <w:t xml:space="preserve"> *</w:t>
            </w:r>
            <w:r>
              <w:rPr>
                <w:rFonts w:ascii="Tinos" w:hAnsi="Tinos" w:eastAsia="Tinos" w:cs="Tinos"/>
                <w:b/>
                <w:bCs/>
                <w:sz w:val="24"/>
                <w:szCs w:val="24"/>
              </w:rPr>
              <w:t xml:space="preserve">а)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документ, удостоверяющий личность заявителя (при личном обращении), а также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 ребенка (детей) старше 14 лет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;</w:t>
            </w:r>
            <w:r>
              <w:rPr>
                <w:rFonts w:ascii="Tinos" w:hAnsi="Tinos" w:cs="Tinos"/>
                <w:sz w:val="24"/>
                <w:szCs w:val="24"/>
              </w:rPr>
            </w:r>
            <w:r>
              <w:rPr>
                <w:rFonts w:ascii="Tinos" w:hAnsi="Tinos" w:cs="Tinos"/>
                <w:sz w:val="24"/>
                <w:szCs w:val="24"/>
              </w:rPr>
            </w:r>
          </w:p>
          <w:p>
            <w:pPr>
              <w:ind w:left="0" w:right="0" w:firstLine="0"/>
              <w:jc w:val="both"/>
              <w:rPr>
                <w:rFonts w:ascii="Tinos" w:hAnsi="Tinos" w:eastAsia="Tinos" w:cs="Tinos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nos" w:hAnsi="Tinos" w:eastAsia="Tinos" w:cs="Tinos"/>
                <w:sz w:val="24"/>
                <w:szCs w:val="24"/>
              </w:rPr>
              <w:t xml:space="preserve">       </w:t>
            </w:r>
            <w:r>
              <w:rPr>
                <w:rFonts w:ascii="Tinos" w:hAnsi="Tinos" w:eastAsia="Tinos" w:cs="Tinos"/>
                <w:b/>
                <w:bCs/>
                <w:sz w:val="24"/>
                <w:szCs w:val="24"/>
              </w:rPr>
              <w:t xml:space="preserve">  *б)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документ (сведения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)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  о рождении всех детей и наличии у них гражданства Российской Федерации.  </w:t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</w:r>
          </w:p>
          <w:p>
            <w:pPr>
              <w:ind w:left="0" w:right="0" w:firstLine="0"/>
              <w:jc w:val="both"/>
              <w:rPr>
                <w:rFonts w:ascii="Tinos" w:hAnsi="Tinos" w:eastAsia="Tinos" w:cs="Tinos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</w:r>
            <w:r>
              <w:rPr>
                <w:rFonts w:ascii="Tinos" w:hAnsi="Tinos" w:eastAsia="Tinos" w:cs="Tinos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nos" w:hAnsi="Tinos" w:eastAsia="Tinos" w:cs="Tinos"/>
                <w:b/>
                <w:bCs/>
                <w:sz w:val="26"/>
                <w:szCs w:val="26"/>
              </w:rPr>
              <w:t xml:space="preserve">  * Д</w:t>
            </w:r>
            <w:r>
              <w:rPr>
                <w:rFonts w:ascii="Tinos" w:hAnsi="Tinos" w:eastAsia="Tinos" w:cs="Tinos"/>
                <w:sz w:val="26"/>
                <w:szCs w:val="26"/>
              </w:rPr>
              <w:t xml:space="preserve">о</w:t>
            </w:r>
            <w:r>
              <w:rPr>
                <w:rStyle w:val="865"/>
                <w:rFonts w:ascii="Tinos" w:hAnsi="Tinos" w:eastAsia="Tinos" w:cs="Tinos"/>
                <w:color w:val="000000" w:themeColor="text1"/>
                <w:sz w:val="26"/>
                <w:szCs w:val="26"/>
              </w:rPr>
              <w:t xml:space="preserve">кументы ( сведения)   о рождении детей</w:t>
            </w:r>
            <w:r>
              <w:rPr>
                <w:rFonts w:ascii="Tinos" w:hAnsi="Tinos" w:eastAsia="Tinos" w:cs="Tinos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rFonts w:ascii="Tinos" w:hAnsi="Tinos" w:eastAsia="Tinos" w:cs="Tinos"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rFonts w:ascii="Tinos" w:hAnsi="Tinos" w:eastAsia="Tinos" w:cs="Tinos"/>
                <w:color w:val="000000" w:themeColor="text1"/>
                <w:sz w:val="26"/>
                <w:szCs w:val="26"/>
              </w:rPr>
              <w:t xml:space="preserve">в случае регис</w:t>
            </w:r>
            <w:r>
              <w:rPr>
                <w:rFonts w:ascii="Tinos" w:hAnsi="Tinos" w:eastAsia="Tinos" w:cs="Tinos"/>
                <w:color w:val="000000" w:themeColor="text1"/>
                <w:sz w:val="26"/>
                <w:szCs w:val="26"/>
              </w:rPr>
              <w:t xml:space="preserve">т</w:t>
            </w:r>
            <w:r>
              <w:rPr>
                <w:rFonts w:ascii="Tinos" w:hAnsi="Tinos" w:eastAsia="Tinos" w:cs="Tinos"/>
                <w:color w:val="000000" w:themeColor="text1"/>
                <w:sz w:val="26"/>
                <w:szCs w:val="26"/>
              </w:rPr>
              <w:t xml:space="preserve">рации записи соответствующего акта компетентным органом иностранного государства</w:t>
            </w:r>
            <w:r>
              <w:rPr>
                <w:rFonts w:ascii="Tinos" w:hAnsi="Tinos" w:eastAsia="Tinos" w:cs="Tinos"/>
                <w:color w:val="000000"/>
                <w:sz w:val="26"/>
                <w:szCs w:val="26"/>
              </w:rPr>
              <w:t xml:space="preserve">;</w:t>
            </w:r>
            <w:r>
              <w:rPr>
                <w:rFonts w:ascii="Tinos" w:hAnsi="Tinos" w:eastAsia="Tinos" w:cs="Tinos"/>
                <w:sz w:val="24"/>
                <w:szCs w:val="24"/>
              </w:rPr>
            </w:r>
            <w:r>
              <w:rPr>
                <w:rFonts w:ascii="Tinos" w:hAnsi="Tinos" w:eastAsia="Tinos" w:cs="Tinos"/>
                <w:sz w:val="24"/>
                <w:szCs w:val="24"/>
              </w:rPr>
            </w:r>
          </w:p>
          <w:p>
            <w:pPr>
              <w:ind w:left="0" w:right="0" w:firstLine="0"/>
              <w:jc w:val="both"/>
              <w:rPr>
                <w:rFonts w:ascii="Tinos" w:hAnsi="Tinos" w:eastAsia="Tinos" w:cs="Tinos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nos" w:hAnsi="Tinos" w:eastAsia="Tinos" w:cs="Tinos"/>
                <w:sz w:val="24"/>
                <w:szCs w:val="24"/>
              </w:rPr>
              <w:t xml:space="preserve">         в)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сведения (документы) из общеобразовательной организации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                          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о получении общего образования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 (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для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 учащегося общеобразовательной организации) или сведения, предоставленные органами местного самоуправления, осуществляющими полномочия в сфере образования, о получении общего образования в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 форме семейного образования (для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 учащегося, получающего образование в форме семейного образования), </w:t>
            </w:r>
            <w:r>
              <w:rPr>
                <w:rFonts w:ascii="Tinos" w:hAnsi="Tinos" w:eastAsia="Tinos" w:cs="Tinos"/>
                <w:sz w:val="24"/>
                <w:szCs w:val="24"/>
              </w:rPr>
            </w:r>
            <w:r>
              <w:rPr>
                <w:rFonts w:ascii="Tinos" w:hAnsi="Tinos" w:eastAsia="Tinos" w:cs="Tinos"/>
                <w:sz w:val="24"/>
                <w:szCs w:val="24"/>
              </w:rPr>
            </w:r>
          </w:p>
          <w:p>
            <w:pPr>
              <w:ind w:left="0" w:right="0" w:firstLine="0"/>
              <w:jc w:val="both"/>
              <w:rPr>
                <w:rFonts w:ascii="Tinos" w:hAnsi="Tinos" w:cs="Tinos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nos" w:hAnsi="Tinos" w:eastAsia="Tinos" w:cs="Tinos"/>
                <w:sz w:val="24"/>
                <w:szCs w:val="24"/>
              </w:rPr>
              <w:t xml:space="preserve">       </w:t>
            </w:r>
            <w:r>
              <w:rPr>
                <w:rFonts w:ascii="Tinos" w:hAnsi="Tinos" w:eastAsia="Tinos" w:cs="Tinos"/>
                <w:b/>
                <w:bCs/>
                <w:sz w:val="24"/>
                <w:szCs w:val="24"/>
              </w:rPr>
              <w:t xml:space="preserve">    *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а также сведения (документы) об обучении ребенка (детей) в организации, осуществляющей образовательную деятельность,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по очной форме обучения до достижения им (ими) возраста 23 лет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;</w:t>
            </w:r>
            <w:r>
              <w:rPr>
                <w:rFonts w:ascii="Tinos" w:hAnsi="Tinos" w:cs="Tinos"/>
                <w:sz w:val="24"/>
                <w:szCs w:val="24"/>
              </w:rPr>
            </w:r>
            <w:r>
              <w:rPr>
                <w:rFonts w:ascii="Tinos" w:hAnsi="Tinos" w:cs="Tinos"/>
                <w:sz w:val="24"/>
                <w:szCs w:val="24"/>
              </w:rPr>
            </w:r>
          </w:p>
          <w:p>
            <w:pPr>
              <w:ind w:left="0" w:right="0" w:firstLine="0"/>
              <w:jc w:val="both"/>
              <w:rPr>
                <w:rFonts w:ascii="Tinos" w:hAnsi="Tinos" w:eastAsia="Tinos" w:cs="Tinos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nos" w:hAnsi="Tinos" w:eastAsia="Tinos" w:cs="Tinos"/>
                <w:sz w:val="24"/>
                <w:szCs w:val="24"/>
              </w:rPr>
              <w:t xml:space="preserve">         г)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сведения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М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ВД РФ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 о регистрации по месту жительства или пребывания на территории Самарской области заявителя, а та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кже ребенка (детей);</w:t>
            </w:r>
            <w:r>
              <w:rPr>
                <w:rFonts w:ascii="Tinos" w:hAnsi="Tinos" w:eastAsia="Tinos" w:cs="Tinos"/>
                <w:sz w:val="24"/>
                <w:szCs w:val="24"/>
              </w:rPr>
            </w:r>
            <w:r>
              <w:rPr>
                <w:rFonts w:ascii="Tinos" w:hAnsi="Tinos" w:eastAsia="Tinos" w:cs="Tinos"/>
                <w:sz w:val="24"/>
                <w:szCs w:val="24"/>
              </w:rPr>
            </w:r>
          </w:p>
          <w:p>
            <w:pPr>
              <w:ind w:left="0" w:right="0" w:firstLine="0"/>
              <w:jc w:val="both"/>
              <w:rPr>
                <w:rFonts w:ascii="Tinos" w:hAnsi="Tinos" w:cs="Tinos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nos" w:hAnsi="Tinos" w:eastAsia="Tinos" w:cs="Tinos"/>
                <w:sz w:val="24"/>
                <w:szCs w:val="24"/>
              </w:rPr>
              <w:t xml:space="preserve">      </w:t>
            </w:r>
            <w:r>
              <w:rPr>
                <w:rFonts w:ascii="Tinos" w:hAnsi="Tinos" w:eastAsia="Tinos" w:cs="Tinos"/>
                <w:b/>
                <w:bCs/>
                <w:sz w:val="24"/>
                <w:szCs w:val="24"/>
              </w:rPr>
              <w:t xml:space="preserve">    *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 В случае отсутствия регистрации по месту жительства или пребывания 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заявитель представляет иные документы, подтверждающие факт пребывания на территории Самарской области: решение суда об установлении факта проживания на территории Самарской области, договор найма жилого помещения,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договор безвозмездного пользования жилым помещением,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 заключенны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е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в соответствии с нормами действующего законодательства; </w:t>
            </w:r>
            <w:r>
              <w:rPr>
                <w:rFonts w:ascii="Tinos" w:hAnsi="Tinos" w:cs="Tinos"/>
                <w:sz w:val="24"/>
                <w:szCs w:val="24"/>
              </w:rPr>
            </w:r>
            <w:r>
              <w:rPr>
                <w:rFonts w:ascii="Tinos" w:hAnsi="Tinos" w:cs="Tinos"/>
                <w:sz w:val="24"/>
                <w:szCs w:val="24"/>
              </w:rPr>
            </w:r>
          </w:p>
          <w:p>
            <w:pPr>
              <w:ind w:left="0" w:right="0" w:firstLine="0"/>
              <w:jc w:val="both"/>
              <w:rPr>
                <w:rFonts w:ascii="Tinos" w:hAnsi="Tinos" w:cs="Tinos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nos" w:hAnsi="Tinos" w:eastAsia="Tinos" w:cs="Tinos"/>
                <w:sz w:val="24"/>
                <w:szCs w:val="24"/>
              </w:rPr>
              <w:t xml:space="preserve">    </w:t>
            </w:r>
            <w:r>
              <w:rPr>
                <w:rFonts w:ascii="Tinos" w:hAnsi="Tinos" w:eastAsia="Tinos" w:cs="Tinos"/>
                <w:b/>
                <w:bCs/>
                <w:sz w:val="24"/>
                <w:szCs w:val="24"/>
              </w:rPr>
              <w:t xml:space="preserve"> *</w:t>
            </w:r>
            <w:r>
              <w:rPr>
                <w:rFonts w:ascii="Tinos" w:hAnsi="Tinos" w:eastAsia="Tinos" w:cs="Tinos"/>
                <w:b/>
                <w:bCs/>
                <w:sz w:val="24"/>
                <w:szCs w:val="24"/>
              </w:rPr>
              <w:t xml:space="preserve">д)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сведения об отсутствии факта лишения  (ограничения) родительских прав,  отобрания ребенка при непосредственной угрозе его жизни или здоровью;</w:t>
            </w:r>
            <w:r>
              <w:rPr>
                <w:rFonts w:ascii="Tinos" w:hAnsi="Tinos" w:cs="Tinos"/>
                <w:sz w:val="24"/>
                <w:szCs w:val="24"/>
              </w:rPr>
            </w:r>
            <w:r>
              <w:rPr>
                <w:rFonts w:ascii="Tinos" w:hAnsi="Tinos" w:cs="Tinos"/>
                <w:sz w:val="24"/>
                <w:szCs w:val="24"/>
              </w:rPr>
            </w:r>
          </w:p>
          <w:p>
            <w:pPr>
              <w:ind w:left="0" w:right="0" w:firstLine="0"/>
              <w:jc w:val="both"/>
              <w:rPr>
                <w:rFonts w:ascii="Tinos" w:hAnsi="Tinos" w:cs="Tinos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nos" w:hAnsi="Tinos" w:eastAsia="Tinos" w:cs="Tinos"/>
                <w:sz w:val="24"/>
                <w:szCs w:val="24"/>
              </w:rPr>
              <w:t xml:space="preserve">       </w:t>
            </w:r>
            <w:r>
              <w:rPr>
                <w:rFonts w:ascii="Tinos" w:hAnsi="Tinos" w:eastAsia="Tinos" w:cs="Tinos"/>
                <w:b/>
                <w:bCs/>
                <w:sz w:val="24"/>
                <w:szCs w:val="24"/>
              </w:rPr>
              <w:t xml:space="preserve">*з)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фотография держателя социальной карты.</w:t>
            </w:r>
            <w:r>
              <w:rPr>
                <w:rFonts w:ascii="Tinos" w:hAnsi="Tinos" w:cs="Tinos"/>
                <w:sz w:val="24"/>
                <w:szCs w:val="24"/>
                <w:highlight w:val="none"/>
              </w:rPr>
            </w:r>
            <w:r>
              <w:rPr>
                <w:rFonts w:ascii="Tinos" w:hAnsi="Tinos" w:cs="Tinos"/>
                <w:sz w:val="24"/>
                <w:szCs w:val="24"/>
                <w:highlight w:val="none"/>
              </w:rPr>
            </w:r>
          </w:p>
          <w:p>
            <w:pPr>
              <w:ind w:left="0" w:right="0" w:firstLine="0"/>
              <w:jc w:val="both"/>
              <w:rPr>
                <w:rFonts w:ascii="Tinos" w:hAnsi="Tinos" w:cs="Tinos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</w:r>
            <w:r>
              <w:rPr>
                <w:rFonts w:ascii="Tinos" w:hAnsi="Tinos" w:cs="Tinos"/>
                <w:sz w:val="24"/>
                <w:szCs w:val="24"/>
              </w:rPr>
            </w:r>
            <w:r>
              <w:rPr>
                <w:rFonts w:ascii="Tinos" w:hAnsi="Tinos" w:cs="Tinos"/>
                <w:sz w:val="24"/>
                <w:szCs w:val="24"/>
              </w:rPr>
            </w:r>
          </w:p>
          <w:p>
            <w:pPr>
              <w:ind w:left="0" w:right="0" w:firstLine="0"/>
              <w:jc w:val="both"/>
              <w:rPr>
                <w:rFonts w:ascii="Tinos" w:hAnsi="Tinos" w:cs="Tinos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Фотография должна соответствовать следующим требованиям:</w:t>
            </w: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</w:p>
          <w:p>
            <w:pPr>
              <w:ind w:left="0" w:right="0" w:firstLine="0"/>
              <w:jc w:val="both"/>
              <w:rPr>
                <w:rFonts w:ascii="Tinos" w:hAnsi="Tinos" w:cs="Tinos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-цветная фотография держателя социальной карты на светлом фоне, без  ретуши, яркого контрового и бокового света, теней, животных, посторонних  лиц и предметов;</w:t>
            </w: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</w:p>
          <w:p>
            <w:pPr>
              <w:ind w:left="0" w:right="0" w:firstLine="0"/>
              <w:jc w:val="both"/>
              <w:rPr>
                <w:rFonts w:ascii="Tinos" w:hAnsi="Tinos" w:cs="Tinos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-разрешение фотографии не менее 600 dpi;</w:t>
            </w: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</w:p>
          <w:p>
            <w:pPr>
              <w:ind w:left="0" w:right="0" w:firstLine="0"/>
              <w:jc w:val="both"/>
              <w:rPr>
                <w:rFonts w:ascii="Tinos" w:hAnsi="Tinos" w:cs="Tinos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-размер изображения овала лица не менее 70 процентов вертикального размера снимка;</w:t>
            </w: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</w:p>
          <w:p>
            <w:pPr>
              <w:ind w:left="0" w:right="0" w:firstLine="0"/>
              <w:jc w:val="both"/>
              <w:rPr>
                <w:rFonts w:ascii="Tinos" w:hAnsi="Tinos" w:cs="Tinos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-изображение лица на фотографии должно быть в фокусе от кончика подбородка до линии волос и от носа до ушей;</w:t>
            </w: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</w:p>
          <w:p>
            <w:pPr>
              <w:ind w:left="0" w:right="0" w:firstLine="0"/>
              <w:jc w:val="both"/>
              <w:rPr>
                <w:rFonts w:ascii="Tinos" w:hAnsi="Tinos" w:cs="Tinos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-заявитель изображается строго анфас и смотрящим прямо с нейтральным  выражением и закрытым ртом, глаза должны быть открыты, а волосы не  должны заслонять их;</w:t>
            </w: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</w:p>
          <w:p>
            <w:pPr>
              <w:ind w:left="0" w:right="0" w:firstLine="0"/>
              <w:jc w:val="both"/>
              <w:rPr>
                <w:rFonts w:ascii="Tinos" w:hAnsi="Tinos" w:cs="Tinos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-изображение лица без головного убора;</w:t>
            </w: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</w:p>
          <w:p>
            <w:pPr>
              <w:ind w:left="0" w:right="0" w:firstLine="0"/>
              <w:jc w:val="both"/>
              <w:rPr>
                <w:rFonts w:ascii="Tinos" w:hAnsi="Tinos" w:cs="Tinos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-изображение лица без очков (допускается фотография держателя  социальной карты в очках в отношении лиц, постоянно носящих очки, на  </w:t>
            </w:r>
            <w:r>
              <w:rPr>
                <w:rFonts w:ascii="Tinos" w:hAnsi="Tinos" w:eastAsia="Tinos" w:cs="Tinos"/>
                <w:sz w:val="20"/>
                <w:szCs w:val="20"/>
              </w:rPr>
              <w:t xml:space="preserve">ф</w:t>
            </w:r>
            <w:r>
              <w:rPr>
                <w:rFonts w:ascii="Tinos" w:hAnsi="Tinos" w:eastAsia="Tinos" w:cs="Tinos"/>
                <w:sz w:val="20"/>
                <w:szCs w:val="20"/>
              </w:rPr>
              <w:t xml:space="preserve">отографии должны быть отчетливо видны глаза).</w:t>
            </w: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</w:p>
          <w:p>
            <w:pPr>
              <w:pStyle w:val="864"/>
              <w:ind w:firstLine="540"/>
              <w:jc w:val="both"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ascii="Tinos" w:hAnsi="Tinos" w:eastAsia="Tinos" w:cs="Tinos"/>
                <w:sz w:val="24"/>
                <w:szCs w:val="24"/>
              </w:rPr>
              <w:t xml:space="preserve">Документы (сведения) могут быть представлены заявителем по собственной инициативе.</w:t>
            </w:r>
            <w:r>
              <w:rPr>
                <w:rFonts w:ascii="Tinos" w:hAnsi="Tinos" w:cs="Tinos"/>
                <w:sz w:val="24"/>
                <w:szCs w:val="24"/>
              </w:rPr>
            </w:r>
            <w:r>
              <w:rPr>
                <w:rFonts w:ascii="Tinos" w:hAnsi="Tinos" w:cs="Tinos"/>
                <w:sz w:val="24"/>
                <w:szCs w:val="24"/>
              </w:rPr>
            </w:r>
          </w:p>
        </w:tc>
      </w:tr>
      <w:tr>
        <w:tblPrEx/>
        <w:trPr/>
        <w:tc>
          <w:tcPr>
            <w:tcW w:w="1701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2"/>
                <w:szCs w:val="22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2"/>
                <w:szCs w:val="22"/>
                <w:highlight w:val="none"/>
              </w:rPr>
              <w:t xml:space="preserve">Обращаться </w:t>
            </w:r>
            <w:r>
              <w:rPr>
                <w:rFonts w:ascii="Tinos" w:hAnsi="Tinos" w:eastAsia="Tinos" w:cs="Tinos"/>
                <w:b w:val="0"/>
                <w:bCs w:val="0"/>
                <w:sz w:val="22"/>
                <w:szCs w:val="22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2"/>
                <w:szCs w:val="22"/>
                <w:highlight w:val="none"/>
              </w:rPr>
            </w:r>
          </w:p>
        </w:tc>
        <w:tc>
          <w:tcPr>
            <w:tcW w:w="8895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  <w:t xml:space="preserve">Управление по м.р. Большеглушицкий ГКУ СО «ГУСЗН Южного округа» </w:t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  <w:t xml:space="preserve">по адресу: 4460180, Самарская область, Большеглушицкий район,</w:t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  <w:t xml:space="preserve"> с. Большая Глушица, ул. Гагарина, д.27, каб.7,15, тел. 8(846 73)  2-13-07, 2-13-08</w:t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</w:tc>
      </w:tr>
    </w:tbl>
    <w:p>
      <w:pPr>
        <w:jc w:val="left"/>
        <w:rPr>
          <w:rFonts w:ascii="Tinos" w:hAnsi="Tinos" w:cs="Tinos"/>
          <w:b w:val="0"/>
          <w:bCs w:val="0"/>
          <w:sz w:val="26"/>
          <w:szCs w:val="26"/>
        </w:rPr>
      </w:pPr>
      <w:r>
        <w:rPr>
          <w:rFonts w:ascii="Tinos" w:hAnsi="Tinos" w:eastAsia="Tinos" w:cs="Tinos"/>
          <w:b w:val="0"/>
          <w:bCs w:val="0"/>
          <w:sz w:val="26"/>
          <w:szCs w:val="26"/>
          <w:highlight w:val="none"/>
        </w:rPr>
      </w:r>
      <w:r>
        <w:rPr>
          <w:rFonts w:ascii="Tinos" w:hAnsi="Tinos" w:cs="Tinos"/>
          <w:b w:val="0"/>
          <w:bCs w:val="0"/>
          <w:sz w:val="26"/>
          <w:szCs w:val="26"/>
        </w:rPr>
      </w:r>
      <w:r>
        <w:rPr>
          <w:rFonts w:ascii="Tinos" w:hAnsi="Tinos" w:cs="Tinos"/>
          <w:b w:val="0"/>
          <w:bCs w:val="0"/>
          <w:sz w:val="26"/>
          <w:szCs w:val="26"/>
        </w:rPr>
      </w:r>
    </w:p>
    <w:sectPr>
      <w:footerReference w:type="default" r:id="rId9"/>
      <w:footnotePr/>
      <w:endnotePr/>
      <w:type w:val="nextPage"/>
      <w:pgSz w:w="11906" w:h="16838" w:orient="portrait"/>
      <w:pgMar w:top="425" w:right="850" w:bottom="283" w:left="709" w:header="709" w:footer="595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2">
    <w:name w:val="Heading 1"/>
    <w:basedOn w:val="858"/>
    <w:next w:val="858"/>
    <w:link w:val="68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83">
    <w:name w:val="Heading 1 Char"/>
    <w:link w:val="682"/>
    <w:uiPriority w:val="9"/>
    <w:rPr>
      <w:rFonts w:ascii="Arial" w:hAnsi="Arial" w:eastAsia="Arial" w:cs="Arial"/>
      <w:sz w:val="40"/>
      <w:szCs w:val="40"/>
    </w:rPr>
  </w:style>
  <w:style w:type="paragraph" w:styleId="684">
    <w:name w:val="Heading 2"/>
    <w:basedOn w:val="858"/>
    <w:next w:val="858"/>
    <w:link w:val="68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5">
    <w:name w:val="Heading 2 Char"/>
    <w:link w:val="684"/>
    <w:uiPriority w:val="9"/>
    <w:rPr>
      <w:rFonts w:ascii="Arial" w:hAnsi="Arial" w:eastAsia="Arial" w:cs="Arial"/>
      <w:sz w:val="34"/>
    </w:rPr>
  </w:style>
  <w:style w:type="paragraph" w:styleId="686">
    <w:name w:val="Heading 3"/>
    <w:basedOn w:val="858"/>
    <w:next w:val="858"/>
    <w:link w:val="68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7">
    <w:name w:val="Heading 3 Char"/>
    <w:link w:val="686"/>
    <w:uiPriority w:val="9"/>
    <w:rPr>
      <w:rFonts w:ascii="Arial" w:hAnsi="Arial" w:eastAsia="Arial" w:cs="Arial"/>
      <w:sz w:val="30"/>
      <w:szCs w:val="30"/>
    </w:rPr>
  </w:style>
  <w:style w:type="paragraph" w:styleId="688">
    <w:name w:val="Heading 4"/>
    <w:basedOn w:val="858"/>
    <w:next w:val="858"/>
    <w:link w:val="68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9">
    <w:name w:val="Heading 4 Char"/>
    <w:link w:val="688"/>
    <w:uiPriority w:val="9"/>
    <w:rPr>
      <w:rFonts w:ascii="Arial" w:hAnsi="Arial" w:eastAsia="Arial" w:cs="Arial"/>
      <w:b/>
      <w:bCs/>
      <w:sz w:val="26"/>
      <w:szCs w:val="26"/>
    </w:rPr>
  </w:style>
  <w:style w:type="paragraph" w:styleId="690">
    <w:name w:val="Heading 5"/>
    <w:basedOn w:val="858"/>
    <w:next w:val="858"/>
    <w:link w:val="69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1">
    <w:name w:val="Heading 5 Char"/>
    <w:link w:val="690"/>
    <w:uiPriority w:val="9"/>
    <w:rPr>
      <w:rFonts w:ascii="Arial" w:hAnsi="Arial" w:eastAsia="Arial" w:cs="Arial"/>
      <w:b/>
      <w:bCs/>
      <w:sz w:val="24"/>
      <w:szCs w:val="24"/>
    </w:rPr>
  </w:style>
  <w:style w:type="paragraph" w:styleId="692">
    <w:name w:val="Heading 6"/>
    <w:basedOn w:val="858"/>
    <w:next w:val="858"/>
    <w:link w:val="69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3">
    <w:name w:val="Heading 6 Char"/>
    <w:link w:val="692"/>
    <w:uiPriority w:val="9"/>
    <w:rPr>
      <w:rFonts w:ascii="Arial" w:hAnsi="Arial" w:eastAsia="Arial" w:cs="Arial"/>
      <w:b/>
      <w:bCs/>
      <w:sz w:val="22"/>
      <w:szCs w:val="22"/>
    </w:rPr>
  </w:style>
  <w:style w:type="paragraph" w:styleId="694">
    <w:name w:val="Heading 7"/>
    <w:basedOn w:val="858"/>
    <w:next w:val="858"/>
    <w:link w:val="69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5">
    <w:name w:val="Heading 7 Char"/>
    <w:link w:val="69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6">
    <w:name w:val="Heading 8"/>
    <w:basedOn w:val="858"/>
    <w:next w:val="858"/>
    <w:link w:val="69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7">
    <w:name w:val="Heading 8 Char"/>
    <w:link w:val="696"/>
    <w:uiPriority w:val="9"/>
    <w:rPr>
      <w:rFonts w:ascii="Arial" w:hAnsi="Arial" w:eastAsia="Arial" w:cs="Arial"/>
      <w:i/>
      <w:iCs/>
      <w:sz w:val="22"/>
      <w:szCs w:val="22"/>
    </w:rPr>
  </w:style>
  <w:style w:type="paragraph" w:styleId="698">
    <w:name w:val="Heading 9"/>
    <w:basedOn w:val="858"/>
    <w:next w:val="858"/>
    <w:link w:val="69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9">
    <w:name w:val="Heading 9 Char"/>
    <w:link w:val="698"/>
    <w:uiPriority w:val="9"/>
    <w:rPr>
      <w:rFonts w:ascii="Arial" w:hAnsi="Arial" w:eastAsia="Arial" w:cs="Arial"/>
      <w:i/>
      <w:iCs/>
      <w:sz w:val="21"/>
      <w:szCs w:val="21"/>
    </w:rPr>
  </w:style>
  <w:style w:type="paragraph" w:styleId="700">
    <w:name w:val="Title"/>
    <w:basedOn w:val="858"/>
    <w:next w:val="858"/>
    <w:link w:val="70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1">
    <w:name w:val="Title Char"/>
    <w:link w:val="700"/>
    <w:uiPriority w:val="10"/>
    <w:rPr>
      <w:sz w:val="48"/>
      <w:szCs w:val="48"/>
    </w:rPr>
  </w:style>
  <w:style w:type="paragraph" w:styleId="702">
    <w:name w:val="Subtitle"/>
    <w:basedOn w:val="858"/>
    <w:next w:val="858"/>
    <w:link w:val="703"/>
    <w:uiPriority w:val="11"/>
    <w:qFormat/>
    <w:pPr>
      <w:spacing w:before="200" w:after="200"/>
    </w:pPr>
    <w:rPr>
      <w:sz w:val="24"/>
      <w:szCs w:val="24"/>
    </w:rPr>
  </w:style>
  <w:style w:type="character" w:styleId="703">
    <w:name w:val="Subtitle Char"/>
    <w:link w:val="702"/>
    <w:uiPriority w:val="11"/>
    <w:rPr>
      <w:sz w:val="24"/>
      <w:szCs w:val="24"/>
    </w:rPr>
  </w:style>
  <w:style w:type="paragraph" w:styleId="704">
    <w:name w:val="Quote"/>
    <w:basedOn w:val="858"/>
    <w:next w:val="858"/>
    <w:link w:val="705"/>
    <w:uiPriority w:val="29"/>
    <w:qFormat/>
    <w:pPr>
      <w:ind w:left="720" w:right="720"/>
    </w:pPr>
    <w:rPr>
      <w:i/>
    </w:rPr>
  </w:style>
  <w:style w:type="character" w:styleId="705">
    <w:name w:val="Quote Char"/>
    <w:link w:val="704"/>
    <w:uiPriority w:val="29"/>
    <w:rPr>
      <w:i/>
    </w:rPr>
  </w:style>
  <w:style w:type="paragraph" w:styleId="706">
    <w:name w:val="Intense Quote"/>
    <w:basedOn w:val="858"/>
    <w:next w:val="858"/>
    <w:link w:val="70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7">
    <w:name w:val="Intense Quote Char"/>
    <w:link w:val="706"/>
    <w:uiPriority w:val="30"/>
    <w:rPr>
      <w:i/>
    </w:rPr>
  </w:style>
  <w:style w:type="paragraph" w:styleId="708">
    <w:name w:val="Header"/>
    <w:basedOn w:val="858"/>
    <w:link w:val="70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9">
    <w:name w:val="Header Char"/>
    <w:link w:val="708"/>
    <w:uiPriority w:val="99"/>
  </w:style>
  <w:style w:type="paragraph" w:styleId="710">
    <w:name w:val="Footer"/>
    <w:basedOn w:val="858"/>
    <w:link w:val="71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1">
    <w:name w:val="Footer Char"/>
    <w:link w:val="710"/>
    <w:uiPriority w:val="99"/>
  </w:style>
  <w:style w:type="paragraph" w:styleId="712">
    <w:name w:val="Caption"/>
    <w:basedOn w:val="858"/>
    <w:next w:val="858"/>
    <w:link w:val="71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3">
    <w:name w:val="Caption Char"/>
    <w:basedOn w:val="712"/>
    <w:link w:val="710"/>
    <w:uiPriority w:val="99"/>
  </w:style>
  <w:style w:type="table" w:styleId="714">
    <w:name w:val="Table Grid"/>
    <w:basedOn w:val="85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5">
    <w:name w:val="Table Grid Light"/>
    <w:basedOn w:val="85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6">
    <w:name w:val="Plain Table 1"/>
    <w:basedOn w:val="85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7">
    <w:name w:val="Plain Table 2"/>
    <w:basedOn w:val="85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8">
    <w:name w:val="Plain Table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9">
    <w:name w:val="Plain Table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Plain Table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1">
    <w:name w:val="Grid Table 1 Light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4"/>
    <w:basedOn w:val="8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3">
    <w:name w:val="Grid Table 4 - Accent 1"/>
    <w:basedOn w:val="8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4">
    <w:name w:val="Grid Table 4 - Accent 2"/>
    <w:basedOn w:val="8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5">
    <w:name w:val="Grid Table 4 - Accent 3"/>
    <w:basedOn w:val="8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6">
    <w:name w:val="Grid Table 4 - Accent 4"/>
    <w:basedOn w:val="8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7">
    <w:name w:val="Grid Table 4 - Accent 5"/>
    <w:basedOn w:val="8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8">
    <w:name w:val="Grid Table 4 - Accent 6"/>
    <w:basedOn w:val="8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9">
    <w:name w:val="Grid Table 5 Dark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0">
    <w:name w:val="Grid Table 5 Dark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52">
    <w:name w:val="Grid Table 5 Dark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53">
    <w:name w:val="Grid Table 5 Dark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54">
    <w:name w:val="Grid Table 5 Dark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5">
    <w:name w:val="Grid Table 5 Dark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6">
    <w:name w:val="Grid Table 6 Colorful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7">
    <w:name w:val="Grid Table 6 Colorful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8">
    <w:name w:val="Grid Table 6 Colorful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9">
    <w:name w:val="Grid Table 6 Colorful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0">
    <w:name w:val="Grid Table 6 Colorful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1">
    <w:name w:val="Grid Table 6 Colorful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2">
    <w:name w:val="Grid Table 6 Colorful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3">
    <w:name w:val="Grid Table 7 Colorful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8">
    <w:name w:val="List Table 2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9">
    <w:name w:val="List Table 2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0">
    <w:name w:val="List Table 2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1">
    <w:name w:val="List Table 2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2">
    <w:name w:val="List Table 2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3">
    <w:name w:val="List Table 2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4">
    <w:name w:val="List Table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5 Dark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5 Dark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6 Colorful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6">
    <w:name w:val="List Table 6 Colorful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7">
    <w:name w:val="List Table 6 Colorful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8">
    <w:name w:val="List Table 6 Colorful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9">
    <w:name w:val="List Table 6 Colorful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0">
    <w:name w:val="List Table 6 Colorful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1">
    <w:name w:val="List Table 6 Colorful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2">
    <w:name w:val="List Table 7 Colorful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3">
    <w:name w:val="List Table 7 Colorful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14">
    <w:name w:val="List Table 7 Colorful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5">
    <w:name w:val="List Table 7 Colorful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6">
    <w:name w:val="List Table 7 Colorful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7">
    <w:name w:val="List Table 7 Colorful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8">
    <w:name w:val="List Table 7 Colorful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9">
    <w:name w:val="Lined - Accent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0">
    <w:name w:val="Lined - Accent 1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1">
    <w:name w:val="Lined - Accent 2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2">
    <w:name w:val="Lined - Accent 3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3">
    <w:name w:val="Lined - Accent 4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4">
    <w:name w:val="Lined - Accent 5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5">
    <w:name w:val="Lined - Accent 6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6">
    <w:name w:val="Bordered &amp; Lined - Accent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7">
    <w:name w:val="Bordered &amp; Lined - Accent 1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8">
    <w:name w:val="Bordered &amp; Lined - Accent 2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9">
    <w:name w:val="Bordered &amp; Lined - Accent 3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0">
    <w:name w:val="Bordered &amp; Lined - Accent 4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1">
    <w:name w:val="Bordered &amp; Lined - Accent 5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2">
    <w:name w:val="Bordered &amp; Lined - Accent 6"/>
    <w:basedOn w:val="8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3">
    <w:name w:val="Bordered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4">
    <w:name w:val="Bordered - Accent 1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5">
    <w:name w:val="Bordered - Accent 2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6">
    <w:name w:val="Bordered - Accent 3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7">
    <w:name w:val="Bordered - Accent 4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8">
    <w:name w:val="Bordered - Accent 5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9">
    <w:name w:val="Bordered - Accent 6"/>
    <w:basedOn w:val="8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40">
    <w:name w:val="Hyperlink"/>
    <w:uiPriority w:val="99"/>
    <w:unhideWhenUsed/>
    <w:rPr>
      <w:color w:val="0000ff" w:themeColor="hyperlink"/>
      <w:u w:val="single"/>
    </w:rPr>
  </w:style>
  <w:style w:type="paragraph" w:styleId="841">
    <w:name w:val="footnote text"/>
    <w:basedOn w:val="858"/>
    <w:link w:val="842"/>
    <w:uiPriority w:val="99"/>
    <w:semiHidden/>
    <w:unhideWhenUsed/>
    <w:pPr>
      <w:spacing w:after="40" w:line="240" w:lineRule="auto"/>
    </w:pPr>
    <w:rPr>
      <w:sz w:val="18"/>
    </w:rPr>
  </w:style>
  <w:style w:type="character" w:styleId="842">
    <w:name w:val="Footnote Text Char"/>
    <w:link w:val="841"/>
    <w:uiPriority w:val="99"/>
    <w:rPr>
      <w:sz w:val="18"/>
    </w:rPr>
  </w:style>
  <w:style w:type="character" w:styleId="843">
    <w:name w:val="footnote reference"/>
    <w:uiPriority w:val="99"/>
    <w:unhideWhenUsed/>
    <w:rPr>
      <w:vertAlign w:val="superscript"/>
    </w:rPr>
  </w:style>
  <w:style w:type="paragraph" w:styleId="844">
    <w:name w:val="endnote text"/>
    <w:basedOn w:val="858"/>
    <w:link w:val="845"/>
    <w:uiPriority w:val="99"/>
    <w:semiHidden/>
    <w:unhideWhenUsed/>
    <w:pPr>
      <w:spacing w:after="0" w:line="240" w:lineRule="auto"/>
    </w:pPr>
    <w:rPr>
      <w:sz w:val="20"/>
    </w:rPr>
  </w:style>
  <w:style w:type="character" w:styleId="845">
    <w:name w:val="Endnote Text Char"/>
    <w:link w:val="844"/>
    <w:uiPriority w:val="99"/>
    <w:rPr>
      <w:sz w:val="20"/>
    </w:rPr>
  </w:style>
  <w:style w:type="character" w:styleId="846">
    <w:name w:val="endnote reference"/>
    <w:uiPriority w:val="99"/>
    <w:semiHidden/>
    <w:unhideWhenUsed/>
    <w:rPr>
      <w:vertAlign w:val="superscript"/>
    </w:rPr>
  </w:style>
  <w:style w:type="paragraph" w:styleId="847">
    <w:name w:val="toc 1"/>
    <w:basedOn w:val="858"/>
    <w:next w:val="858"/>
    <w:uiPriority w:val="39"/>
    <w:unhideWhenUsed/>
    <w:pPr>
      <w:ind w:left="0" w:right="0" w:firstLine="0"/>
      <w:spacing w:after="57"/>
    </w:pPr>
  </w:style>
  <w:style w:type="paragraph" w:styleId="848">
    <w:name w:val="toc 2"/>
    <w:basedOn w:val="858"/>
    <w:next w:val="858"/>
    <w:uiPriority w:val="39"/>
    <w:unhideWhenUsed/>
    <w:pPr>
      <w:ind w:left="283" w:right="0" w:firstLine="0"/>
      <w:spacing w:after="57"/>
    </w:pPr>
  </w:style>
  <w:style w:type="paragraph" w:styleId="849">
    <w:name w:val="toc 3"/>
    <w:basedOn w:val="858"/>
    <w:next w:val="858"/>
    <w:uiPriority w:val="39"/>
    <w:unhideWhenUsed/>
    <w:pPr>
      <w:ind w:left="567" w:right="0" w:firstLine="0"/>
      <w:spacing w:after="57"/>
    </w:pPr>
  </w:style>
  <w:style w:type="paragraph" w:styleId="850">
    <w:name w:val="toc 4"/>
    <w:basedOn w:val="858"/>
    <w:next w:val="858"/>
    <w:uiPriority w:val="39"/>
    <w:unhideWhenUsed/>
    <w:pPr>
      <w:ind w:left="850" w:right="0" w:firstLine="0"/>
      <w:spacing w:after="57"/>
    </w:pPr>
  </w:style>
  <w:style w:type="paragraph" w:styleId="851">
    <w:name w:val="toc 5"/>
    <w:basedOn w:val="858"/>
    <w:next w:val="858"/>
    <w:uiPriority w:val="39"/>
    <w:unhideWhenUsed/>
    <w:pPr>
      <w:ind w:left="1134" w:right="0" w:firstLine="0"/>
      <w:spacing w:after="57"/>
    </w:pPr>
  </w:style>
  <w:style w:type="paragraph" w:styleId="852">
    <w:name w:val="toc 6"/>
    <w:basedOn w:val="858"/>
    <w:next w:val="858"/>
    <w:uiPriority w:val="39"/>
    <w:unhideWhenUsed/>
    <w:pPr>
      <w:ind w:left="1417" w:right="0" w:firstLine="0"/>
      <w:spacing w:after="57"/>
    </w:pPr>
  </w:style>
  <w:style w:type="paragraph" w:styleId="853">
    <w:name w:val="toc 7"/>
    <w:basedOn w:val="858"/>
    <w:next w:val="858"/>
    <w:uiPriority w:val="39"/>
    <w:unhideWhenUsed/>
    <w:pPr>
      <w:ind w:left="1701" w:right="0" w:firstLine="0"/>
      <w:spacing w:after="57"/>
    </w:pPr>
  </w:style>
  <w:style w:type="paragraph" w:styleId="854">
    <w:name w:val="toc 8"/>
    <w:basedOn w:val="858"/>
    <w:next w:val="858"/>
    <w:uiPriority w:val="39"/>
    <w:unhideWhenUsed/>
    <w:pPr>
      <w:ind w:left="1984" w:right="0" w:firstLine="0"/>
      <w:spacing w:after="57"/>
    </w:pPr>
  </w:style>
  <w:style w:type="paragraph" w:styleId="855">
    <w:name w:val="toc 9"/>
    <w:basedOn w:val="858"/>
    <w:next w:val="858"/>
    <w:uiPriority w:val="39"/>
    <w:unhideWhenUsed/>
    <w:pPr>
      <w:ind w:left="2268" w:right="0" w:firstLine="0"/>
      <w:spacing w:after="57"/>
    </w:pPr>
  </w:style>
  <w:style w:type="paragraph" w:styleId="856">
    <w:name w:val="TOC Heading"/>
    <w:uiPriority w:val="39"/>
    <w:unhideWhenUsed/>
  </w:style>
  <w:style w:type="paragraph" w:styleId="857">
    <w:name w:val="table of figures"/>
    <w:basedOn w:val="858"/>
    <w:next w:val="858"/>
    <w:uiPriority w:val="99"/>
    <w:unhideWhenUsed/>
    <w:pPr>
      <w:spacing w:after="0" w:afterAutospacing="0"/>
    </w:pPr>
  </w:style>
  <w:style w:type="paragraph" w:styleId="858" w:default="1">
    <w:name w:val="Normal"/>
    <w:qFormat/>
  </w:style>
  <w:style w:type="table" w:styleId="85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0" w:default="1">
    <w:name w:val="No List"/>
    <w:uiPriority w:val="99"/>
    <w:semiHidden/>
    <w:unhideWhenUsed/>
  </w:style>
  <w:style w:type="paragraph" w:styleId="861">
    <w:name w:val="No Spacing"/>
    <w:basedOn w:val="858"/>
    <w:uiPriority w:val="1"/>
    <w:qFormat/>
    <w:pPr>
      <w:spacing w:after="0" w:line="240" w:lineRule="auto"/>
    </w:pPr>
  </w:style>
  <w:style w:type="paragraph" w:styleId="862">
    <w:name w:val="List Paragraph"/>
    <w:basedOn w:val="858"/>
    <w:uiPriority w:val="34"/>
    <w:qFormat/>
    <w:pPr>
      <w:contextualSpacing/>
      <w:ind w:left="720"/>
    </w:pPr>
  </w:style>
  <w:style w:type="character" w:styleId="863" w:default="1">
    <w:name w:val="Default Paragraph Font"/>
    <w:uiPriority w:val="1"/>
    <w:semiHidden/>
    <w:unhideWhenUsed/>
  </w:style>
  <w:style w:type="paragraph" w:styleId="864" w:customStyle="1">
    <w:name w:val="ConsPlus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cs="Arial" w:eastAsiaTheme="minorEastAsia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2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5" w:customStyle="1">
    <w:name w:val="Font Style12"/>
    <w:next w:val="840"/>
    <w:link w:val="832"/>
    <w:rPr>
      <w:rFonts w:ascii="Times New Roman" w:hAnsi="Times New Roman"/>
      <w:sz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expert</cp:lastModifiedBy>
  <cp:revision>15</cp:revision>
  <dcterms:modified xsi:type="dcterms:W3CDTF">2026-10-02T05:52:58Z</dcterms:modified>
</cp:coreProperties>
</file>