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5"/>
        <w:jc w:val="center"/>
        <w:rPr>
          <w:rFonts w:ascii="Tinos" w:hAnsi="Tinos" w:eastAsia="Tinos" w:cs="Tinos"/>
          <w:b/>
          <w:bCs/>
          <w:sz w:val="28"/>
          <w:szCs w:val="28"/>
          <w14:ligatures w14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</w:rPr>
        <w:t xml:space="preserve">Единовременная социальная выплата на оплату расходов, </w:t>
      </w:r>
      <w:r>
        <w:rPr>
          <w:rFonts w:ascii="Tinos" w:hAnsi="Tinos" w:eastAsia="Tinos" w:cs="Tinos"/>
          <w:b/>
          <w:bCs/>
          <w:sz w:val="28"/>
          <w:szCs w:val="28"/>
          <w14:ligatures w14:val="none"/>
        </w:rPr>
      </w:r>
      <w:r>
        <w:rPr>
          <w:rFonts w:ascii="Tinos" w:hAnsi="Tinos" w:eastAsia="Tinos" w:cs="Tinos"/>
          <w:b/>
          <w:bCs/>
          <w:sz w:val="28"/>
          <w:szCs w:val="28"/>
          <w14:ligatures w14:val="none"/>
        </w:rPr>
      </w:r>
    </w:p>
    <w:p>
      <w:pPr>
        <w:pStyle w:val="855"/>
        <w:jc w:val="center"/>
        <w:rPr>
          <w:rFonts w:ascii="Tinos" w:hAnsi="Tinos" w:cs="Tinos"/>
          <w:b/>
          <w:bCs/>
          <w:sz w:val="28"/>
          <w:szCs w:val="28"/>
          <w14:ligatures w14:val="none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связанных с  приобретением и установкой внутридомового газового оборудования, а также  услуг по проектированию и строительству газораспределительных сетей   отдельным категор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иям граждан, </w:t>
      </w:r>
      <w:r>
        <w:rPr>
          <w:rFonts w:ascii="Tinos" w:hAnsi="Tinos" w:cs="Tinos"/>
          <w:b/>
          <w:bCs/>
          <w:sz w:val="28"/>
          <w:szCs w:val="28"/>
          <w14:ligatures w14:val="none"/>
        </w:rPr>
      </w:r>
      <w:r>
        <w:rPr>
          <w:rFonts w:ascii="Tinos" w:hAnsi="Tinos" w:cs="Tinos"/>
          <w:b/>
          <w:bCs/>
          <w:sz w:val="28"/>
          <w:szCs w:val="28"/>
          <w14:ligatures w14:val="none"/>
        </w:rPr>
      </w:r>
    </w:p>
    <w:p>
      <w:pPr>
        <w:pStyle w:val="855"/>
        <w:jc w:val="center"/>
        <w:rPr>
          <w:rFonts w:ascii="Tinos" w:hAnsi="Tinos" w:eastAsia="Tinos" w:cs="Tinos"/>
          <w:b/>
          <w:bCs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проживающих  на территории Самарской области.</w:t>
      </w:r>
      <w:r>
        <w:rPr>
          <w:rFonts w:ascii="Tinos" w:hAnsi="Tinos" w:eastAsia="Tinos" w:cs="Tinos"/>
          <w:b/>
          <w:bCs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  <w14:ligatures w14:val="none"/>
        </w:rPr>
      </w:r>
    </w:p>
    <w:p>
      <w:pPr>
        <w:pStyle w:val="855"/>
        <w:jc w:val="center"/>
        <w:rPr>
          <w:rFonts w:ascii="Tinos" w:hAnsi="Tinos" w:cs="Tinos"/>
          <w:b/>
          <w:bCs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/>
          <w:bCs/>
          <w:sz w:val="28"/>
          <w:szCs w:val="28"/>
          <w:highlight w:val="none"/>
          <w14:ligatures w14:val="none"/>
        </w:rPr>
        <w:t xml:space="preserve">(догазификация)</w:t>
      </w:r>
      <w:r>
        <w:rPr>
          <w:rFonts w:ascii="Tinos" w:hAnsi="Tinos" w:cs="Tinos"/>
          <w:b/>
          <w:bCs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  <w14:ligatures w14:val="none"/>
        </w:rPr>
      </w:r>
    </w:p>
    <w:p>
      <w:pPr>
        <w:pStyle w:val="855"/>
        <w:jc w:val="center"/>
        <w:rPr>
          <w:rFonts w:ascii="Tinos" w:hAnsi="Tinos" w:cs="Tinos"/>
          <w:b/>
          <w:bCs/>
          <w:sz w:val="28"/>
          <w:szCs w:val="28"/>
          <w:highlight w:val="none"/>
          <w14:ligatures w14:val="none"/>
        </w:rPr>
      </w:pPr>
      <w:r>
        <w:rPr>
          <w:rFonts w:ascii="Tinos" w:hAnsi="Tinos" w:cs="Tinos"/>
          <w:b/>
          <w:bCs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  <w14:ligatures w14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  <w14:ligatures w14:val="none"/>
        </w:rPr>
      </w:r>
    </w:p>
    <w:tbl>
      <w:tblPr>
        <w:tblStyle w:val="708"/>
        <w:tblW w:w="0" w:type="auto"/>
        <w:tblInd w:w="-425" w:type="dxa"/>
        <w:tblLayout w:type="fixed"/>
        <w:tblLook w:val="04A0" w:firstRow="1" w:lastRow="0" w:firstColumn="1" w:lastColumn="0" w:noHBand="0" w:noVBand="1"/>
      </w:tblPr>
      <w:tblGrid>
        <w:gridCol w:w="1984"/>
        <w:gridCol w:w="8895"/>
      </w:tblGrid>
      <w:tr>
        <w:tblPrEx/>
        <w:trPr>
          <w:trHeight w:val="1753"/>
        </w:trPr>
        <w:tc>
          <w:tcPr>
            <w:tcW w:w="1984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Нормативные акты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pStyle w:val="855"/>
              <w:jc w:val="both"/>
              <w:rPr>
                <w:rFonts w:ascii="Tinos" w:hAnsi="Tinos" w:cs="Tinos"/>
                <w:b w:val="0"/>
                <w:bCs w:val="0"/>
                <w:sz w:val="24"/>
                <w:szCs w:val="24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Постановление Правительства Самарской области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</w:rPr>
              <w:t xml:space="preserve">    </w:t>
            </w:r>
            <w:r>
              <w:rPr>
                <w:rFonts w:ascii="Tinos" w:hAnsi="Tinos" w:eastAsia="Tinos" w:cs="Tinos"/>
                <w:b w:val="0"/>
                <w:bCs w:val="0"/>
                <w:color w:val="000000"/>
                <w:sz w:val="24"/>
                <w:szCs w:val="24"/>
              </w:rPr>
              <w:t xml:space="preserve">от 26.10.2021 года N 811 «О предоставлении меры социальной поддержки в виде единовременной социальной выплаты на оплату расходов, связанных с приобретением и установкой внутридомового газового оборудования, а также услуг по проектированию и строитель</w:t>
            </w:r>
            <w:r>
              <w:rPr>
                <w:rFonts w:ascii="Tinos" w:hAnsi="Tinos" w:eastAsia="Tinos" w:cs="Tinos"/>
                <w:b w:val="0"/>
                <w:bCs w:val="0"/>
                <w:color w:val="000000"/>
                <w:sz w:val="24"/>
                <w:szCs w:val="24"/>
              </w:rPr>
              <w:t xml:space="preserve">ству газораспределительных сетей отдельным категориям граждан, проживающих на территории Самарской области» (</w:t>
            </w:r>
            <w:r>
              <w:t xml:space="preserve">на 2021 - 2027 годы )</w:t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</w:rPr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</w:rPr>
            </w:r>
          </w:p>
          <w:p>
            <w:pPr>
              <w:pStyle w:val="855"/>
              <w:jc w:val="both"/>
              <w:rPr>
                <w:rFonts w:ascii="Tinos" w:hAnsi="Tinos" w:cs="Tinos"/>
                <w:b w:val="0"/>
                <w:bCs w:val="0"/>
                <w:sz w:val="24"/>
                <w:szCs w:val="24"/>
              </w:rPr>
            </w:pPr>
            <w:r>
              <w:rPr>
                <w:rFonts w:ascii="Tinos" w:hAnsi="Tinos" w:eastAsia="Tinos" w:cs="Tinos"/>
                <w:b w:val="0"/>
                <w:bCs w:val="0"/>
                <w:color w:val="000000"/>
                <w:sz w:val="24"/>
                <w:szCs w:val="24"/>
              </w:rPr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</w:rPr>
            </w:r>
            <w:r>
              <w:rPr>
                <w:rFonts w:ascii="Tinos" w:hAnsi="Tinos" w:cs="Tinos"/>
                <w:b w:val="0"/>
                <w:bCs w:val="0"/>
                <w:sz w:val="24"/>
                <w:szCs w:val="24"/>
              </w:rPr>
            </w:r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Размер выплаты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jc w:val="center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/>
                <w:bCs/>
                <w:sz w:val="26"/>
                <w:szCs w:val="26"/>
                <w:highlight w:val="none"/>
              </w:rPr>
              <w:t xml:space="preserve">201 000 рублей   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Категории получателей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Социальная выплата  предоставляется  следующим категориям граждан Российской Федерации,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u w:val="single"/>
              </w:rPr>
              <w:t xml:space="preserve">постоянно проживающих и зарегистрированных по месту жительства на территории Самарской облас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u w:val="single"/>
              </w:rPr>
              <w:t xml:space="preserve">ти в принадлежащих им на праве собственности жилых помещениях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на дату обращения,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u w:val="single"/>
              </w:rPr>
              <w:t xml:space="preserve">заключивших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с газораспределительной организацией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u w:val="single"/>
              </w:rPr>
              <w:t xml:space="preserve"> договор о подключении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указанного жилого помещения к сетям газораспределения после 21 апреля 2021 года, а также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u w:val="single"/>
              </w:rPr>
              <w:t xml:space="preserve">выполнивших сво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u w:val="single"/>
              </w:rPr>
              <w:t xml:space="preserve">и обязательства в рамках договора по подготовке домовладения к приему газа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1) инвалиды Великой Отечественной войны;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2) участники Великой Отечественной войны;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3) члены семей погибших (умерших) инвалидов Великой Отечественной войны, указанные в </w:t>
            </w:r>
            <w:hyperlink r:id="rId10" w:tooltip="https://docs.cntd.ru/document/9010197#8QG0M6" w:history="1">
              <w:r>
                <w:rPr>
                  <w:rStyle w:val="834"/>
                  <w:rFonts w:ascii="Times New Roman" w:hAnsi="Times New Roman" w:eastAsia="Times New Roman" w:cs="Times New Roman"/>
                  <w:color w:val="0000ee"/>
                  <w:sz w:val="24"/>
                  <w:u w:val="single"/>
                </w:rPr>
                <w:t xml:space="preserve">статье 21 Федерального закона "О ветеранах"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4) члены семей погибших (умерших) участников Великой Отечественной войны, указанные в </w:t>
            </w:r>
            <w:hyperlink r:id="rId11" w:tooltip="https://docs.cntd.ru/document/9010197#8QG0M6" w:history="1">
              <w:r>
                <w:rPr>
                  <w:rStyle w:val="834"/>
                  <w:rFonts w:ascii="Times New Roman" w:hAnsi="Times New Roman" w:eastAsia="Times New Roman" w:cs="Times New Roman"/>
                  <w:color w:val="0000ee"/>
                  <w:sz w:val="24"/>
                  <w:u w:val="single"/>
                </w:rPr>
                <w:t xml:space="preserve">статье 21 Федерального закона "О ветеранах"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5) бывшие несовершеннолетние узники фашизма;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6) лица, награжденные знаком "Жителю блокадного Ленинграда";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7) лица, награжденные знаком "Житель осажденного Севастополя";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8) ветераны Великой Отечественной войны - труженики тыла из числа лиц, указанных в </w:t>
            </w:r>
            <w:hyperlink r:id="rId12" w:tooltip="https://docs.cntd.ru/document/9010197#8P80LT" w:history="1">
              <w:r>
                <w:rPr>
                  <w:rStyle w:val="834"/>
                  <w:rFonts w:ascii="Times New Roman" w:hAnsi="Times New Roman" w:eastAsia="Times New Roman" w:cs="Times New Roman"/>
                  <w:color w:val="0000ee"/>
                  <w:sz w:val="24"/>
                  <w:u w:val="single"/>
                </w:rPr>
                <w:t xml:space="preserve">подпункте 4 пункта 1 статьи 2 Федерального закона "О ветеранах"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9) семьи, имеющие детей-инвалидов;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rPr>
                <w:b/>
                <w:bCs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 xml:space="preserve">10)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 xml:space="preserve">многодетные семьи, имеющие трех и более детей (включая рожденных (усыновленных), приемных и (или) находящихся под опекой (попечительством) в возрасте до восемнадцати лет и (или) двадцати трех лет, обучающихся в организации, осуществляющей образовательн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 xml:space="preserve">ую деятельность, по очной форме обучения;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11) инвалиды I и II групп;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12) одиноко проживающие граждане, являющиеся получателями пенсии, которая установлена (назначена) в соответствии с федеральными </w:t>
            </w:r>
            <w:hyperlink r:id="rId13" w:tooltip="https://docs.cntd.ru/document/499067425#7D20K3" w:history="1">
              <w:r>
                <w:rPr>
                  <w:rStyle w:val="834"/>
                  <w:rFonts w:ascii="Times New Roman" w:hAnsi="Times New Roman" w:eastAsia="Times New Roman" w:cs="Times New Roman"/>
                  <w:color w:val="0000ee"/>
                  <w:sz w:val="24"/>
                  <w:u w:val="single"/>
                </w:rPr>
                <w:t xml:space="preserve">законами "О страховых пенсиях"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и "О государственном пенсионном обеспечении в Российской Федерации", при условии, что размер их пенсии не превышает величины прожиточного минимума в Самарской области, установленной Правительством Самарской области для пенсионеров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 xml:space="preserve">(15311 руб.)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, на дату обращения за 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значением социальной выплаты.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13) получатели субсидии на оплату жилого помещения и коммунальных услуг;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14) получатели ежемесячного пособия на ребенка, установленного пунктом 1 части 1 статьи 2 </w:t>
            </w:r>
            <w:hyperlink r:id="rId14" w:tooltip="https://docs.cntd.ru/document/945009804#64U0IK" w:history="1">
              <w:r>
                <w:rPr>
                  <w:rStyle w:val="834"/>
                  <w:rFonts w:ascii="Times New Roman" w:hAnsi="Times New Roman" w:eastAsia="Times New Roman" w:cs="Times New Roman"/>
                  <w:color w:val="0000ee"/>
                  <w:sz w:val="24"/>
                  <w:u w:val="single"/>
                </w:rPr>
                <w:t xml:space="preserve">Закона Самарской области "О государственной поддержке граждан, имеющих детей"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15) получатели социальной помощи в виде денежных выплат (социального пособия); 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16) ветераны боевых действий;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17) инвалиды III группы;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18) инвалиды боевых действий, указанные в </w:t>
            </w:r>
            <w:hyperlink r:id="rId15" w:tooltip="https://docs.cntd.ru/document/9010197#7DA0K6" w:history="1">
              <w:r>
                <w:rPr>
                  <w:rStyle w:val="834"/>
                  <w:rFonts w:ascii="Times New Roman" w:hAnsi="Times New Roman" w:eastAsia="Times New Roman" w:cs="Times New Roman"/>
                  <w:color w:val="0000ee"/>
                  <w:sz w:val="24"/>
                  <w:u w:val="single"/>
                </w:rPr>
                <w:t xml:space="preserve">статье 4 Федерального закона "О ветеранах"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19) члены семей погибших (умерших) инвалидов боевых действий, указанные в </w:t>
            </w:r>
            <w:hyperlink r:id="rId16" w:tooltip="https://docs.cntd.ru/document/9010197#8QG0M6" w:history="1">
              <w:r>
                <w:rPr>
                  <w:rStyle w:val="834"/>
                  <w:rFonts w:ascii="Times New Roman" w:hAnsi="Times New Roman" w:eastAsia="Times New Roman" w:cs="Times New Roman"/>
                  <w:color w:val="0000ee"/>
                  <w:sz w:val="24"/>
                  <w:u w:val="single"/>
                </w:rPr>
                <w:t xml:space="preserve">статье 21 Федерального закона "О ветеранах"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20) члены семей погибших (умерших) ветеранов боевых действий, указанные в </w:t>
            </w:r>
            <w:hyperlink r:id="rId17" w:tooltip="https://docs.cntd.ru/document/9010197#8QG0M6" w:history="1">
              <w:r>
                <w:rPr>
                  <w:rStyle w:val="834"/>
                  <w:rFonts w:ascii="Times New Roman" w:hAnsi="Times New Roman" w:eastAsia="Times New Roman" w:cs="Times New Roman"/>
                  <w:color w:val="0000ee"/>
                  <w:sz w:val="24"/>
                  <w:u w:val="single"/>
                </w:rPr>
                <w:t xml:space="preserve">статье 21 Федерального закона "О ветеранах"</w:t>
              </w:r>
            </w:hyperlink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;  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21)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граждане, призванные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 отделами Военного комиссариата Самарской области на военную службу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по мобилизации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 в Вооруженные Силы Российской Федерации в соответствии с </w:t>
            </w:r>
            <w:hyperlink r:id="rId18" w:tooltip="https://docs.cntd.ru/document/351809307#64S0IJ" w:history="1">
              <w:r>
                <w:rPr>
                  <w:rStyle w:val="834"/>
                  <w:rFonts w:ascii="Times New Roman" w:hAnsi="Times New Roman" w:eastAsia="Times New Roman" w:cs="Times New Roman"/>
                  <w:b w:val="0"/>
                  <w:bCs w:val="0"/>
                  <w:color w:val="0000ee"/>
                  <w:sz w:val="24"/>
                  <w:u w:val="single"/>
                </w:rPr>
                <w:t xml:space="preserve">Указом Президента Российской Федерации от 21 сентября 2022 года N 647 "Об объявлении частичной мобилизации в Российской Федерации"</w:t>
              </w:r>
            </w:hyperlink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, -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со дня призыва граждан на военную службу по мобилизации в Вооруженные Силы Российской Федерации до дня их увольнения с военной службы;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22)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лица, принимающие (принимавшие) участие (содействующие) (содействовавшие) выполнению задач в специальной военной операции;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23)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лица, выполняющие (выполнявшие) задачи по отражению вооруженного вторжения на территорию РФ в ходе вооруженной провокации на государственной границе РФ и территориях субъектов РФ, прилегающих к районам проведения СВО;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24)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 лица, принимавшие в соответствии с решениями органов государственной власти ДНР, ЛНР, участие в боевых действиях в составе Вооруженных Сил ДНР, Народной милиции ЛНР, воинских формирований и органов ДНР и ЛНР начиная с 11.05.2014;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  <w:t xml:space="preserve">25) члены семей лиц, указанных в п.22-24, в том числе ПОГИБШИХ (УМЕРШИХ) в связи с участием ( выполнением задач) в СВО, выполнением задач по отражению вооруже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  <w:t xml:space="preserve">нного вторжения, в ходе вооруженной провокации, в ходе боевых действий, пропавших вез вести или признанных в установленном порядке безвестно отсутствующими в связи с участием в СВО, выполнением указанных задач, а также УМЕРШИХ после увольнения с военной сл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  <w:t xml:space="preserve">ужбы(работы) или исключения из добровольческих формирований предусмотренных ФЗ «Об обороне», если смерть таких лиц наступила вследствии увечья(ранения, травмы, контузии) или заболевания, полученных ими в связи с участием в СВО, выполнением указанных задач: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  -родители;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 - супруг (супруга);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      – дети, не достигшие возраста 18 лет, в том числе которые рождены после гибели ( смерти) лиц, указанных в п. 22-24 и в отношении которых установлено отцовство;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      – дети старше 18 лет, ставшими инвалидами до достижения ими возраста 18 лет;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    - дети в возрасте до  23 лет, обучающиеся в организациях, осуществляющих  образовательную деятельность, по ОЧНОЙ форме обучения;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      – лица, находящиеся на иждивении лиц, указанных в п. 22-24, либо находящиеся на иждивении этих лиц на дату их гибели (смерти).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b w:val="0"/>
                <w:bCs w:val="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  <w:t xml:space="preserve">Лица, указанные в п. 22-25 вправе обратиться за выплатой до конца года, следующего за годом завершения СВО, а лица ука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  <w:t xml:space="preserve">занные в п. 22-24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  <w:t xml:space="preserve">признанные в установленном порядке 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  <w:t xml:space="preserve">инвалидами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  <w:t xml:space="preserve">вследствие увечья(ранения, травмы, контузии) или заболевания, полученных ими в связи с участием в СВО, выполнением   задач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по отражению вооруженного вторжения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в ходе  вооруженной провокации, в ходе боевых действий,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 члены их семей, а также члены семей лиц,  названных в п.    22-24 ,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  <w:t xml:space="preserve">ПОГИБШИХ (УМЕРШИХ) в связи с участием в СВО, выполнением задач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 – БЕССРОЧНО.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  <w:p>
            <w:pPr>
              <w:ind w:left="0" w:right="0" w:firstLine="0"/>
              <w:jc w:val="both"/>
              <w:rPr>
                <w:b w:val="0"/>
                <w:bCs w:val="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</w:rPr>
            </w:r>
            <w:r>
              <w:rPr>
                <w:b w:val="0"/>
                <w:bCs w:val="0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</w:rPr>
              <w:t xml:space="preserve">Категориям граждан, указанных в  пунктах 9, 10 и 21 - 25,   выплата предоставляется одному из членов семьи при условии регистрации его по месту жительства в принадлежащем ему на праве собственности жилом помещении.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b w:val="0"/>
                <w:bCs w:val="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highlight w:val="none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blPrEx/>
        <w:trPr/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Условия получения выплаты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889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rPr>
                <w:rFonts w:ascii="Tinos" w:hAnsi="Tinos" w:cs="Tinos"/>
                <w:b w:val="0"/>
                <w:bCs w:val="0"/>
                <w:sz w:val="26"/>
                <w:szCs w:val="26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sz w:val="26"/>
                <w:szCs w:val="26"/>
              </w:rPr>
              <w:t xml:space="preserve">Заявление о предоставлении социальной выплаты подается гражданином,  имеющим право на социальную выплату, или его представителем в срок не  позднее 15 декабря 2028 года.</w:t>
            </w:r>
            <w:r>
              <w:rPr>
                <w:rFonts w:ascii="Tinos" w:hAnsi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  <w:tr>
        <w:tblPrEx/>
        <w:trPr>
          <w:trHeight w:val="229"/>
        </w:trPr>
        <w:tc>
          <w:tcPr>
            <w:tcW w:w="1984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Способ подачи заявления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jc w:val="both"/>
              <w:rPr>
                <w:rFonts w:ascii="Tinos" w:hAnsi="Tinos" w:eastAsia="Tinos" w:cs="Tinos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Лично, через МФЦ, Единый портал </w:t>
            </w:r>
            <w:r>
              <w:rPr>
                <w:rFonts w:ascii="Tinos" w:hAnsi="Tinos" w:eastAsia="Tinos" w:cs="Tinos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color w:val="000000" w:themeColor="text1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1984" w:type="dxa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Необходимые документы (сведения)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  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Сведения со знаком «*»  </w:t>
            </w:r>
            <w:r>
              <w:rPr>
                <w:rFonts w:ascii="Tinos" w:hAnsi="Tinos" w:eastAsia="Tinos" w:cs="Tinos"/>
                <w:b/>
                <w:bCs/>
                <w:sz w:val="24"/>
                <w:szCs w:val="24"/>
                <w:highlight w:val="none"/>
              </w:rPr>
              <w:t xml:space="preserve">заявитель предоставляет самостоятельно в течении 5 рабочих дней со дня получения уведомления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  <w:t xml:space="preserve">  </w:t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8895" w:type="dxa"/>
            <w:textDirection w:val="lrTb"/>
            <w:noWrap w:val="false"/>
          </w:tcPr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 xml:space="preserve">*а)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заявление;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 xml:space="preserve">*б)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документ, удостоверяющий личность заявителя ( при личном обращении);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в) документы (сведения) о регистрационном учете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u w:val="single"/>
              </w:rPr>
              <w:t xml:space="preserve">по месту жительства заявителя;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 xml:space="preserve">*г)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правоустанавливающие документы на жилое помещение, права на которое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 xml:space="preserve">не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зарегистрированы в Едином государственном реестре недвижимости;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 xml:space="preserve">*д)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заключенный с газораспределительной организацией после 21 апреля 2021 года договор о технологическом присоединении домовладения к сетям газораспределения;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 xml:space="preserve">*е)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акт о технологическом подсоединении к газораспределительным сетям, оформленный газораспределительной организацией и подписанный со стороны газораспределительной организации и заявителя;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  <w:t xml:space="preserve">*ж)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документы (сведения), подтверждающие отнесение заявителя к категориям лиц, имеющим право на выплату;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 з) справка о получении пенсии;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В случае подачи заявления через представителя также предъявляются документы, удостоверяющие личность и полномочия представителя.</w:t>
            </w:r>
            <w:r/>
          </w:p>
          <w:p>
            <w:pPr>
              <w:ind w:left="0" w:right="0" w:firstLine="0"/>
              <w:jc w:val="both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Документы, указанные в  пункте "ж", представляются заявителем (или его представителем) самостоятельно, за исключением сведений, запрашиваемых   в порядке межведомственного электронного взаимодействия.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Сведения о регистрационном учете по месту жительства заявителя, сведения о правоустанавливающих документах на жилое помещение, права на которое зарегистрированы в Едином государственном реестре недвижимости, сведения об инвалидности, содержащиеся в федерал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ьной государственной информационной системе "Единая централизованная цифровая платформа в социальной сфере", сведения о государственной регистрации рождения ребенка (детей), сведения об установлении над ребенком опеки (попечительства), а также сведения (сп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равка) о подтверждении факта участия в специальной военной операции запрашиваются уполномоченными учреждениями в порядке межведомственного взаимодействия.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both"/>
              <w:rPr>
                <w:rFonts w:ascii="Tinos" w:hAnsi="Tinos" w:cs="Tinos"/>
                <w:sz w:val="26"/>
                <w:szCs w:val="2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nos" w:hAnsi="Tinos" w:eastAsia="Tinos" w:cs="Tinos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sz w:val="26"/>
                <w:szCs w:val="26"/>
              </w:rPr>
              <w:t xml:space="preserve">Заявитель вправе представить документы  по своей инициативе.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Способ получения выплаты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8895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nos" w:hAnsi="Tinos" w:cs="Tinos"/>
                <w:sz w:val="26"/>
                <w:szCs w:val="26"/>
              </w:rPr>
            </w:pPr>
            <w:r>
              <w:rPr>
                <w:rFonts w:ascii="Tinos" w:hAnsi="Tinos" w:eastAsia="Tinos" w:cs="Tinos"/>
                <w:sz w:val="26"/>
                <w:szCs w:val="26"/>
              </w:rPr>
            </w:r>
            <w:r>
              <w:rPr>
                <w:rFonts w:ascii="Tinos" w:hAnsi="Tinos" w:eastAsia="Tinos" w:cs="Tinos"/>
                <w:sz w:val="26"/>
                <w:szCs w:val="26"/>
              </w:rPr>
              <w:t xml:space="preserve"> выплата  осуществляется  путем перечисления   на  лицевой счет гражданина, открытый им в кредитной организации.</w:t>
            </w:r>
            <w:r>
              <w:rPr>
                <w:rFonts w:ascii="Tinos" w:hAnsi="Tinos" w:cs="Tinos"/>
                <w:sz w:val="26"/>
                <w:szCs w:val="26"/>
              </w:rPr>
            </w:r>
            <w:r>
              <w:rPr>
                <w:rFonts w:ascii="Tinos" w:hAnsi="Tinos" w:cs="Tinos"/>
                <w:sz w:val="26"/>
                <w:szCs w:val="26"/>
              </w:rPr>
            </w:r>
          </w:p>
        </w:tc>
      </w:tr>
      <w:tr>
        <w:tblPrEx/>
        <w:trPr/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  <w:t xml:space="preserve">Обращаться </w:t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2"/>
                <w:szCs w:val="22"/>
                <w:highlight w:val="none"/>
              </w:rPr>
            </w:r>
          </w:p>
        </w:tc>
        <w:tc>
          <w:tcPr>
            <w:tcW w:w="8895" w:type="dxa"/>
            <w:vMerge w:val="restart"/>
            <w:textDirection w:val="lrTb"/>
            <w:noWrap w:val="false"/>
          </w:tcPr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Управление по м.р. Большеглушицкий ГКУ СО «ГУСЗН Южного округа» 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по адресу: 4460180, Самарская область, Большеглушицкий район,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jc w:val="left"/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pP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  <w:t xml:space="preserve"> с. Большая Глушица, ул. Гагарина, д. 27, каб. 18 , тел. 8(846 73)  2-22-61 </w:t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nos" w:hAnsi="Tinos" w:eastAsia="Tinos" w:cs="Tinos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</w:tbl>
    <w:p>
      <w:pPr>
        <w:jc w:val="left"/>
        <w:rPr>
          <w:rFonts w:ascii="Tinos" w:hAnsi="Tinos" w:cs="Tinos"/>
          <w:b w:val="0"/>
          <w:bCs w:val="0"/>
          <w:sz w:val="26"/>
          <w:szCs w:val="26"/>
        </w:rPr>
      </w:pPr>
      <w:r>
        <w:rPr>
          <w:rFonts w:ascii="Tinos" w:hAnsi="Tinos" w:eastAsia="Tinos" w:cs="Tinos"/>
          <w:b w:val="0"/>
          <w:bCs w:val="0"/>
          <w:sz w:val="26"/>
          <w:szCs w:val="26"/>
          <w:highlight w:val="none"/>
        </w:rPr>
      </w:r>
      <w:r>
        <w:rPr>
          <w:rFonts w:ascii="Tinos" w:hAnsi="Tinos" w:cs="Tinos"/>
          <w:b w:val="0"/>
          <w:bCs w:val="0"/>
          <w:sz w:val="26"/>
          <w:szCs w:val="26"/>
        </w:rPr>
      </w:r>
      <w:r>
        <w:rPr>
          <w:rFonts w:ascii="Tinos" w:hAnsi="Tinos" w:cs="Tinos"/>
          <w:b w:val="0"/>
          <w:bCs w:val="0"/>
          <w:sz w:val="26"/>
          <w:szCs w:val="26"/>
        </w:rPr>
      </w:r>
    </w:p>
    <w:sectPr>
      <w:footerReference w:type="default" r:id="rId9"/>
      <w:footnotePr/>
      <w:endnotePr/>
      <w:type w:val="nextPage"/>
      <w:pgSz w:w="11906" w:h="16838" w:orient="portrait"/>
      <w:pgMar w:top="425" w:right="850" w:bottom="283" w:left="992" w:header="709" w:footer="595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Wingdings">
    <w:panose1 w:val="05010000000000000000"/>
  </w:font>
  <w:font w:name="Symbol">
    <w:panose1 w:val="05010000000000000000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basedOn w:val="706"/>
    <w:link w:val="704"/>
    <w:uiPriority w:val="99"/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cs="Arial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59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cs="Courier New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docs.cntd.ru/document/9010197#8QG0M6" TargetMode="External"/><Relationship Id="rId11" Type="http://schemas.openxmlformats.org/officeDocument/2006/relationships/hyperlink" Target="https://docs.cntd.ru/document/9010197#8QG0M6" TargetMode="External"/><Relationship Id="rId12" Type="http://schemas.openxmlformats.org/officeDocument/2006/relationships/hyperlink" Target="https://docs.cntd.ru/document/9010197#8P80LT" TargetMode="External"/><Relationship Id="rId13" Type="http://schemas.openxmlformats.org/officeDocument/2006/relationships/hyperlink" Target="https://docs.cntd.ru/document/499067425#7D20K3" TargetMode="External"/><Relationship Id="rId14" Type="http://schemas.openxmlformats.org/officeDocument/2006/relationships/hyperlink" Target="https://docs.cntd.ru/document/945009804#64U0IK" TargetMode="External"/><Relationship Id="rId15" Type="http://schemas.openxmlformats.org/officeDocument/2006/relationships/hyperlink" Target="https://docs.cntd.ru/document/9010197#7DA0K6" TargetMode="External"/><Relationship Id="rId16" Type="http://schemas.openxmlformats.org/officeDocument/2006/relationships/hyperlink" Target="https://docs.cntd.ru/document/9010197#8QG0M6" TargetMode="External"/><Relationship Id="rId17" Type="http://schemas.openxmlformats.org/officeDocument/2006/relationships/hyperlink" Target="https://docs.cntd.ru/document/9010197#8QG0M6" TargetMode="External"/><Relationship Id="rId18" Type="http://schemas.openxmlformats.org/officeDocument/2006/relationships/hyperlink" Target="https://docs.cntd.ru/document/351809307#64S0IJ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expert</cp:lastModifiedBy>
  <cp:revision>19</cp:revision>
  <dcterms:modified xsi:type="dcterms:W3CDTF">2026-09-29T09:32:21Z</dcterms:modified>
</cp:coreProperties>
</file>