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8.75pt;height:90.7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28.05</w:t>
      </w:r>
      <w:r>
        <w:rPr>
          <w:rFonts w:ascii="Times New Roman" w:hAnsi="Times New Roman" w:cs="Times New Roman"/>
          <w:b/>
          <w:sz w:val="26"/>
          <w:szCs w:val="26"/>
        </w:rPr>
        <w:t xml:space="preserve">.2026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9"/>
        <w:ind w:firstLine="708"/>
        <w:jc w:val="center"/>
        <w:spacing w:line="276" w:lineRule="auto"/>
        <w:rPr>
          <w:rFonts w:ascii="Tinos" w:hAnsi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  <w:r>
        <w:rPr>
          <w:rFonts w:ascii="Tinos" w:hAnsi="Tinos" w:cs="Tinos"/>
          <w:b/>
          <w:bCs/>
          <w:sz w:val="28"/>
          <w:szCs w:val="28"/>
          <w:highlight w:val="none"/>
        </w:rPr>
      </w:r>
    </w:p>
    <w:p>
      <w:pPr>
        <w:pStyle w:val="689"/>
        <w:ind w:firstLine="708"/>
        <w:jc w:val="center"/>
        <w:spacing w:line="276" w:lineRule="auto"/>
        <w:rPr>
          <w:rFonts w:ascii="Tinos" w:hAnsi="Tinos" w:eastAsia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  <w:highlight w:val="none"/>
        </w:rPr>
        <w:t xml:space="preserve">Семинар для предпринимателей </w:t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</w:p>
    <w:p>
      <w:pPr>
        <w:pStyle w:val="689"/>
        <w:ind w:firstLine="708"/>
        <w:jc w:val="center"/>
        <w:spacing w:line="276" w:lineRule="auto"/>
        <w:rPr>
          <w:rFonts w:ascii="Tinos" w:hAnsi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  <w:highlight w:val="none"/>
        </w:rPr>
        <w:t xml:space="preserve">в Торгово-промышленной палате Самарской области</w:t>
      </w:r>
      <w:r>
        <w:rPr>
          <w:rFonts w:ascii="Tinos" w:hAnsi="Tinos" w:cs="Tinos"/>
          <w:b/>
          <w:bCs/>
          <w:sz w:val="28"/>
          <w:szCs w:val="28"/>
          <w:highlight w:val="none"/>
        </w:rPr>
      </w:r>
      <w:r>
        <w:rPr>
          <w:rFonts w:ascii="Tinos" w:hAnsi="Tinos" w:cs="Tinos"/>
          <w:b/>
          <w:bCs/>
          <w:sz w:val="28"/>
          <w:szCs w:val="28"/>
          <w:highlight w:val="none"/>
        </w:rPr>
      </w:r>
    </w:p>
    <w:p>
      <w:pPr>
        <w:pStyle w:val="689"/>
        <w:ind w:firstLine="708"/>
        <w:jc w:val="center"/>
        <w:spacing w:line="276" w:lineRule="auto"/>
        <w:rPr>
          <w:rFonts w:ascii="Tinos" w:hAnsi="Tinos" w:cs="Tinos"/>
          <w:b/>
          <w:bCs/>
          <w:sz w:val="28"/>
          <w:szCs w:val="28"/>
        </w:rPr>
      </w:pP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cs="Tinos"/>
          <w:b/>
          <w:bCs/>
          <w:sz w:val="28"/>
          <w:szCs w:val="28"/>
        </w:rPr>
      </w:r>
      <w:r>
        <w:rPr>
          <w:rFonts w:ascii="Tinos" w:hAnsi="Tinos" w:cs="Tinos"/>
          <w:b/>
          <w:bCs/>
          <w:sz w:val="28"/>
          <w:szCs w:val="28"/>
        </w:rPr>
      </w:r>
    </w:p>
    <w:p>
      <w:pPr>
        <w:ind w:left="0" w:right="0" w:firstLine="0"/>
        <w:jc w:val="both"/>
        <w:spacing w:before="0" w:after="300" w:line="276" w:lineRule="auto"/>
        <w:rPr>
          <w:rFonts w:ascii="Tinos" w:hAnsi="Tinos" w:eastAsia="Tinos" w:cs="Tinos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 w:val="0"/>
          <w:bCs w:val="0"/>
          <w:color w:val="333333"/>
          <w:sz w:val="28"/>
          <w:szCs w:val="28"/>
          <w:highlight w:val="none"/>
        </w:rPr>
        <w:t xml:space="preserve">      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Самарский Росреестр провел семинар в Торгово-промышленной палате Самарской области, посвященный актуальным изменениям законодательства в сфере земли и недвижимости. </w:t>
      </w:r>
      <w:r>
        <w:rPr>
          <w:rFonts w:ascii="Tinos" w:hAnsi="Tinos" w:eastAsia="Tinos" w:cs="Tinos"/>
          <w:sz w:val="28"/>
          <w:szCs w:val="28"/>
          <w:highlight w:val="none"/>
          <w:lang w:eastAsia="ru-RU"/>
        </w:rPr>
        <w:t xml:space="preserve">Спикером мероприятия выступил начальник отдела правового обеспечения </w:t>
      </w:r>
      <w:r>
        <w:rPr>
          <w:rFonts w:ascii="Tinos" w:hAnsi="Tinos" w:eastAsia="Tinos" w:cs="Tinos"/>
          <w:sz w:val="28"/>
          <w:szCs w:val="28"/>
          <w:highlight w:val="none"/>
          <w:lang w:eastAsia="ru-RU"/>
        </w:rPr>
        <w:t xml:space="preserve">ведомства </w:t>
      </w:r>
      <w:r>
        <w:rPr>
          <w:rFonts w:ascii="Tinos" w:hAnsi="Tinos" w:eastAsia="Tinos" w:cs="Tinos"/>
          <w:b/>
          <w:bCs/>
          <w:sz w:val="28"/>
          <w:szCs w:val="28"/>
          <w:highlight w:val="none"/>
          <w:lang w:eastAsia="ru-RU"/>
        </w:rPr>
        <w:t xml:space="preserve">Константин Минин</w:t>
      </w:r>
      <w:r>
        <w:rPr>
          <w:rFonts w:ascii="Tinos" w:hAnsi="Tinos" w:eastAsia="Tinos" w:cs="Tinos"/>
          <w:sz w:val="28"/>
          <w:szCs w:val="28"/>
          <w:highlight w:val="none"/>
          <w:lang w:eastAsia="ru-RU"/>
        </w:rPr>
        <w:t xml:space="preserve">.</w:t>
      </w:r>
      <w:r>
        <w:rPr>
          <w:rFonts w:ascii="Tinos" w:hAnsi="Tinos" w:eastAsia="Tinos" w:cs="Tinos"/>
          <w:sz w:val="28"/>
          <w:szCs w:val="28"/>
        </w:rPr>
        <w:t xml:space="preserve"> Он </w:t>
      </w:r>
      <w:r>
        <w:rPr>
          <w:rFonts w:ascii="Tinos" w:hAnsi="Tinos" w:eastAsia="Tinos" w:cs="Tinos"/>
          <w:sz w:val="28"/>
          <w:szCs w:val="28"/>
        </w:rPr>
        <w:t xml:space="preserve">рассказал о том, что </w:t>
      </w:r>
      <w:r>
        <w:rPr>
          <w:rFonts w:ascii="Tinos" w:hAnsi="Tinos" w:eastAsia="Tinos" w:cs="Tinos"/>
          <w:color w:val="000000"/>
          <w:sz w:val="28"/>
          <w:szCs w:val="28"/>
          <w:highlight w:val="none"/>
        </w:rPr>
        <w:t xml:space="preserve">с</w:t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  <w:t xml:space="preserve"> 1 марта 2026 г. в Земельный кодекс РФ внесены изменения, касающиеся видов разрешенного использования </w:t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  <w:t xml:space="preserve">(ВРИ)</w:t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  <w:t xml:space="preserve"> земельных участков</w:t>
      </w:r>
      <w:r>
        <w:rPr>
          <w:rFonts w:ascii="Tinos" w:hAnsi="Tinos" w:eastAsia="Tinos" w:cs="Tinos"/>
          <w:color w:val="000000"/>
          <w:sz w:val="28"/>
          <w:szCs w:val="28"/>
          <w:highlight w:val="none"/>
        </w:rPr>
        <w:t xml:space="preserve">.</w:t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  <w:t xml:space="preserve"> </w:t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</w:r>
    </w:p>
    <w:p>
      <w:pPr>
        <w:ind w:left="0" w:right="0" w:firstLine="0"/>
        <w:jc w:val="both"/>
        <w:spacing w:before="0" w:after="300" w:line="276" w:lineRule="auto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  <w:highlight w:val="none"/>
        </w:rPr>
        <w:t xml:space="preserve">       </w:t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  <w:t xml:space="preserve">Вид разрешенного использования</w:t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  <w:t xml:space="preserve"> (ВРИ) —  тот, который допускается осуществлять на земельном участке, а также над и под его поверхностью.</w:t>
      </w:r>
      <w:r>
        <w:rPr>
          <w:rFonts w:ascii="Tinos" w:hAnsi="Tinos" w:eastAsia="Tinos" w:cs="Tinos"/>
          <w:b/>
          <w:color w:val="000000"/>
          <w:sz w:val="28"/>
          <w:szCs w:val="28"/>
        </w:rPr>
        <w:t xml:space="preserve"> 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</w:rPr>
        <w:t xml:space="preserve">ВРИ делятся на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основные,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вспомогательные и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условно разрешенные. 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</w:rPr>
        <w:t xml:space="preserve">Правообладатели получили право самостоятельно выбирать основной и вспомогательный ВРИ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 из федерального классификатора, учитывая категорию земель, зонирование территории и цели использования. Для выбора основного ВРИ необходимо подать заявление в орган регистрации прав. Вспомогательные виды в ЕГРН не вносятся.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left="0" w:right="0" w:firstLine="0"/>
        <w:jc w:val="both"/>
        <w:spacing w:line="276" w:lineRule="auto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/>
          <w:color w:val="000000"/>
          <w:sz w:val="28"/>
          <w:szCs w:val="28"/>
        </w:rPr>
        <w:t xml:space="preserve">       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</w:rPr>
        <w:t xml:space="preserve">Установлен перечень документов, определяющих ВРИ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</w:rPr>
        <w:t xml:space="preserve">: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градостроительный регламент,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лесохозяйственный регламент, </w:t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  <w:t xml:space="preserve">положение об особо охраняемой природной территории. 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i/>
          <w:iCs/>
          <w:color w:val="000000"/>
          <w:sz w:val="28"/>
          <w:szCs w:val="28"/>
        </w:rPr>
        <w:t xml:space="preserve">«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none"/>
        </w:rPr>
        <w:t xml:space="preserve">Все 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white"/>
        </w:rPr>
        <w:t xml:space="preserve">изменения законодательства направлены на устранение правовой неопределенности, упрощение процедур использования земель, сокращение административных барьеров и повышение прозрачности земельных отношений»</w:t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  <w:t xml:space="preserve">, – отметил </w:t>
      </w:r>
      <w:r>
        <w:rPr>
          <w:rFonts w:ascii="Tinos" w:hAnsi="Tinos" w:eastAsia="Tinos" w:cs="Tinos"/>
          <w:b/>
          <w:bCs/>
          <w:color w:val="000000"/>
          <w:sz w:val="28"/>
          <w:szCs w:val="28"/>
          <w:highlight w:val="white"/>
        </w:rPr>
        <w:t xml:space="preserve">Константин Минин. 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left="0" w:right="0" w:firstLine="0"/>
        <w:jc w:val="both"/>
        <w:shd w:val="clear" w:color="ffffff" w:fill="ffffff"/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00000"/>
          <w:sz w:val="24"/>
          <w:highlight w:val="white"/>
        </w:rPr>
      </w:r>
      <w:r>
        <w:rPr>
          <w:rFonts w:ascii="Tinos" w:hAnsi="Tinos" w:eastAsia="Tinos" w:cs="Tinos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highlight w:val="none"/>
          <w:lang w:eastAsia="ru-RU"/>
        </w:rPr>
        <w:t xml:space="preserve"> </w:t>
      </w:r>
      <w:r>
        <w:rPr>
          <w:rFonts w:ascii="Tinos" w:hAnsi="Tinos" w:eastAsia="Tinos" w:cs="Tinos"/>
          <w:sz w:val="28"/>
          <w:szCs w:val="28"/>
          <w:highlight w:val="none"/>
          <w:lang w:eastAsia="ru-RU"/>
        </w:rPr>
        <w:t xml:space="preserve">В программе семинара </w:t>
      </w:r>
      <w:r>
        <w:rPr>
          <w:rFonts w:ascii="Tinos" w:hAnsi="Tinos" w:eastAsia="Tinos" w:cs="Tinos"/>
          <w:sz w:val="28"/>
          <w:szCs w:val="28"/>
          <w:highlight w:val="none"/>
          <w:lang w:eastAsia="ru-RU"/>
        </w:rPr>
        <w:t xml:space="preserve">освещалась работа сервисов Национальной системы пространственных данных</w:t>
      </w:r>
      <w:r>
        <w:rPr>
          <w:rFonts w:ascii="Tinos" w:hAnsi="Tinos" w:eastAsia="Tinos" w:cs="Tinos"/>
          <w:sz w:val="28"/>
          <w:szCs w:val="28"/>
        </w:rPr>
        <w:t xml:space="preserve">. Предприниматели узнали, как с помощью сервиса </w:t>
      </w:r>
      <w:r>
        <w:rPr>
          <w:rFonts w:ascii="Tinos" w:hAnsi="Tinos" w:eastAsia="Tinos" w:cs="Tinos"/>
          <w:b w:val="0"/>
          <w:bCs w:val="0"/>
          <w:i/>
          <w:iCs/>
          <w:sz w:val="28"/>
          <w:szCs w:val="28"/>
        </w:rPr>
        <w:t xml:space="preserve">«Карта»</w:t>
      </w:r>
      <w:r>
        <w:rPr>
          <w:rFonts w:ascii="Tinos" w:hAnsi="Tinos" w:eastAsia="Tinos" w:cs="Tinos"/>
          <w:i/>
          <w:iCs/>
          <w:sz w:val="28"/>
          <w:szCs w:val="28"/>
        </w:rPr>
        <w:t xml:space="preserve"> </w:t>
      </w:r>
      <w:r>
        <w:rPr>
          <w:rFonts w:ascii="Tinos" w:hAnsi="Tinos" w:eastAsia="Tinos" w:cs="Tinos"/>
          <w:sz w:val="28"/>
          <w:szCs w:val="28"/>
        </w:rPr>
        <w:t xml:space="preserve">определить ВРИ земельных участков. </w:t>
      </w:r>
      <w:r>
        <w:rPr>
          <w:rFonts w:ascii="Tinos" w:hAnsi="Tinos" w:eastAsia="Tinos" w:cs="Tinos"/>
          <w:b w:val="0"/>
          <w:bCs w:val="0"/>
          <w:i w:val="0"/>
          <w:iCs w:val="0"/>
          <w:sz w:val="28"/>
          <w:szCs w:val="28"/>
        </w:rPr>
        <w:t xml:space="preserve">Т</w:t>
      </w:r>
      <w:r>
        <w:rPr>
          <w:rFonts w:ascii="Tinos" w:hAnsi="Tinos" w:eastAsia="Tinos" w:cs="Tinos"/>
          <w:b w:val="0"/>
          <w:bCs w:val="0"/>
          <w:i w:val="0"/>
          <w:iCs w:val="0"/>
          <w:sz w:val="28"/>
          <w:szCs w:val="28"/>
        </w:rPr>
        <w:t xml:space="preserve">акже собравшиеся получили информацию о</w:t>
      </w:r>
      <w:r>
        <w:rPr>
          <w:rFonts w:ascii="Tinos" w:hAnsi="Tinos" w:eastAsia="Tinos" w:cs="Tinos"/>
          <w:b w:val="0"/>
          <w:bCs w:val="0"/>
          <w:i w:val="0"/>
          <w:iCs w:val="0"/>
          <w:sz w:val="28"/>
          <w:szCs w:val="28"/>
        </w:rPr>
        <w:t xml:space="preserve"> </w:t>
      </w:r>
      <w:r>
        <w:rPr>
          <w:rFonts w:ascii="Tinos" w:hAnsi="Tinos" w:eastAsia="Tinos" w:cs="Tinos"/>
          <w:b w:val="0"/>
          <w:bCs w:val="0"/>
          <w:i w:val="0"/>
          <w:iCs w:val="0"/>
          <w:sz w:val="28"/>
          <w:szCs w:val="28"/>
        </w:rPr>
        <w:t xml:space="preserve">сервисе </w:t>
      </w:r>
      <w:r>
        <w:rPr>
          <w:rFonts w:ascii="Tinos" w:hAnsi="Tinos" w:eastAsia="Tinos" w:cs="Tinos"/>
          <w:b w:val="0"/>
          <w:bCs w:val="0"/>
          <w:i/>
          <w:iCs/>
          <w:sz w:val="28"/>
          <w:szCs w:val="28"/>
        </w:rPr>
        <w:t xml:space="preserve">«Градостроительная проработка онлайн»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, объединяющем ключевую градостроительную информацию о выбранной территории</w:t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</w:rPr>
        <w:t xml:space="preserve">: ВРИ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,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зоны с особыми условиями,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пересечения границ участка с соседними или иными зонами;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градостроительную документацию,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административно‑территориальное деление.</w:t>
      </w:r>
      <w:r>
        <w:rPr>
          <w:highlight w:val="none"/>
        </w:rPr>
      </w:r>
      <w:r>
        <w:rPr>
          <w:highlight w:val="none"/>
        </w:rPr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</w:rPr>
      </w:r>
      <w:r>
        <w:rPr>
          <w:rFonts w:ascii="Liberation Sans" w:hAnsi="Liberation Sans" w:eastAsia="Liberation Sans" w:cs="Liberation Sans"/>
          <w:sz w:val="24"/>
        </w:rPr>
      </w:r>
    </w:p>
    <w:p>
      <w:pPr>
        <w:ind w:left="0" w:right="0" w:firstLine="0"/>
        <w:jc w:val="both"/>
        <w:spacing w:line="276" w:lineRule="auto"/>
        <w:shd w:val="clear" w:color="ffffff" w:fill="ffffff"/>
        <w:rPr>
          <w:rFonts w:ascii="Tinos" w:hAnsi="Tinos" w:cs="Tinos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 w:val="0"/>
          <w:bCs w:val="0"/>
          <w:i/>
          <w:iCs/>
          <w:color w:val="000000"/>
          <w:sz w:val="28"/>
          <w:szCs w:val="28"/>
          <w:highlight w:val="none"/>
        </w:rPr>
        <w:t xml:space="preserve">       «</w:t>
      </w:r>
      <w:r>
        <w:rPr>
          <w:rFonts w:ascii="Tinos" w:hAnsi="Tinos" w:eastAsia="Tinos" w:cs="Tinos"/>
          <w:i/>
          <w:iCs/>
          <w:color w:val="000000"/>
          <w:sz w:val="28"/>
          <w:szCs w:val="28"/>
        </w:rPr>
        <w:t xml:space="preserve">Для Торгово-промышленной палаты особенно важно, что НСПД предоставляет специализированные сервисы для различных категорий бизнеса. </w:t>
      </w:r>
      <w:r>
        <w:rPr>
          <w:rFonts w:ascii="Tinos" w:hAnsi="Tinos" w:eastAsia="Tinos" w:cs="Tinos"/>
          <w:i/>
          <w:iCs/>
          <w:color w:val="000000"/>
          <w:sz w:val="28"/>
          <w:szCs w:val="28"/>
        </w:rPr>
        <w:t xml:space="preserve">Сервисы НСПД помогают нашим членам находить наибол</w:t>
      </w:r>
      <w:r>
        <w:rPr>
          <w:rFonts w:ascii="Tinos" w:hAnsi="Tinos" w:eastAsia="Tinos" w:cs="Tinos"/>
          <w:i/>
          <w:iCs/>
          <w:color w:val="000000"/>
          <w:sz w:val="28"/>
          <w:szCs w:val="28"/>
        </w:rPr>
        <w:t xml:space="preserve">ее подходящие участки для реализации их проектов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white"/>
        </w:rPr>
        <w:t xml:space="preserve">, </w:t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  <w:t xml:space="preserve">– говорит председатель Союза «Торгово-промышленная палата Самарской области» </w:t>
      </w:r>
      <w:r>
        <w:rPr>
          <w:rFonts w:ascii="Tinos" w:hAnsi="Tinos" w:eastAsia="Tinos" w:cs="Tinos"/>
          <w:b/>
          <w:bCs/>
          <w:color w:val="000000"/>
          <w:sz w:val="28"/>
          <w:szCs w:val="28"/>
          <w:highlight w:val="white"/>
        </w:rPr>
        <w:t xml:space="preserve">Валерий Петрович Фомичев. -</w:t>
      </w:r>
      <w:r>
        <w:rPr>
          <w:rFonts w:ascii="Tinos" w:hAnsi="Tinos" w:eastAsia="Tinos" w:cs="Tinos"/>
          <w:b/>
          <w:bCs/>
          <w:color w:val="000000"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Хочу подчеркнуть, что НСПД - </w:t>
      </w:r>
      <w:r>
        <w:rPr>
          <w:rFonts w:ascii="Tinos" w:hAnsi="Tinos" w:eastAsia="Tinos" w:cs="Tinos"/>
          <w:i/>
          <w:iCs/>
          <w:color w:val="000000"/>
          <w:sz w:val="28"/>
          <w:szCs w:val="28"/>
        </w:rPr>
        <w:t xml:space="preserve">это не просто инструмент для получения информации, а полноценная инфраструктура, которая способствует развитию бизнеса, упрощает взаимодействие с государственными органами и делает процесс управления земельными </w:t>
      </w:r>
      <w:r>
        <w:rPr>
          <w:rFonts w:ascii="Tinos" w:hAnsi="Tinos" w:eastAsia="Tinos" w:cs="Tinos"/>
          <w:i/>
          <w:iCs/>
          <w:color w:val="000000"/>
          <w:sz w:val="28"/>
          <w:szCs w:val="28"/>
        </w:rPr>
        <w:t xml:space="preserve">ресурсами более эффективным и прозрачным.  Мы уверены, что внедрение и развитие НСПД будет способствовать дальнейшему экономическому росту и процветанию нашего региона».</w:t>
      </w:r>
      <w:r>
        <w:rPr>
          <w:rFonts w:ascii="Tinos" w:hAnsi="Tinos" w:eastAsia="Tinos" w:cs="Tinos"/>
          <w:i/>
          <w:iCs/>
          <w:sz w:val="28"/>
          <w:szCs w:val="28"/>
        </w:rPr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white"/>
        </w:rPr>
      </w:r>
      <w:r>
        <w:rPr>
          <w:rFonts w:ascii="Tinos" w:hAnsi="Tinos" w:eastAsia="Tinos" w:cs="Tinos"/>
          <w:b w:val="0"/>
          <w:bCs w:val="0"/>
          <w:color w:val="000000"/>
          <w:sz w:val="28"/>
          <w:szCs w:val="28"/>
          <w:highlight w:val="none"/>
        </w:rPr>
      </w:r>
      <w:r>
        <w:rPr>
          <w:rFonts w:ascii="Tinos" w:hAnsi="Tinos" w:cs="Tinos"/>
          <w:color w:val="000000"/>
          <w:sz w:val="28"/>
          <w:szCs w:val="28"/>
          <w:highlight w:val="white"/>
        </w:rPr>
      </w:r>
      <w:r>
        <w:rPr>
          <w:rFonts w:ascii="Tinos" w:hAnsi="Tinos" w:eastAsia="Tinos" w:cs="Tinos"/>
          <w:b w:val="0"/>
          <w:bCs w:val="0"/>
          <w:i w:val="0"/>
          <w:iCs w:val="0"/>
          <w:sz w:val="28"/>
          <w:szCs w:val="28"/>
        </w:rPr>
      </w:r>
      <w:r>
        <w:rPr>
          <w:highlight w:val="none"/>
        </w:rPr>
      </w:r>
      <w:r>
        <w:rPr>
          <w:rFonts w:ascii="Tinos" w:hAnsi="Tinos" w:cs="Tinos"/>
          <w:color w:val="000000"/>
          <w:sz w:val="28"/>
          <w:szCs w:val="28"/>
          <w:highlight w:val="white"/>
        </w:rPr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96635" cy="18415"/>
                <wp:effectExtent l="0" t="0" r="0" b="63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680503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096634" cy="1841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80.05pt;height:1.45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sz w:val="28"/>
          <w:szCs w:val="28"/>
          <w:highlight w:val="none"/>
          <w:lang w:eastAsia="ru-RU"/>
        </w:rPr>
      </w:r>
    </w:p>
    <w:p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Материал подготовлен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Управлением </w:t>
      </w:r>
      <w:r>
        <w:rPr>
          <w:rFonts w:ascii="Times New Roman" w:hAnsi="Times New Roman" w:cs="Times New Roman"/>
          <w:sz w:val="22"/>
          <w:szCs w:val="22"/>
        </w:rPr>
        <w:t xml:space="preserve">Росреестра</w:t>
      </w:r>
      <w:r>
        <w:rPr>
          <w:rFonts w:ascii="Times New Roman" w:hAnsi="Times New Roman" w:cs="Times New Roman"/>
          <w:sz w:val="22"/>
          <w:szCs w:val="22"/>
        </w:rPr>
        <w:t xml:space="preserve"> по Самарской области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Times New Roman">
    <w:panose1 w:val="02020603050405020304"/>
  </w:font>
  <w:font w:name="Symbol">
    <w:panose1 w:val="05010000000000000000"/>
  </w:font>
  <w:font w:name="Courier New">
    <w:panose1 w:val="02070409020205020404"/>
  </w:font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o"/>
      <w:lvlJc w:val="left"/>
      <w:pPr>
        <w:ind w:left="709" w:hanging="360"/>
      </w:pPr>
      <w:rPr>
        <w:rFonts w:hint="default" w:ascii="Courier New" w:hAnsi="Courier New" w:eastAsia="Courier New" w:cs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eastAsia="Courier New" w:cs="Courier New"/>
      </w:rPr>
    </w:lvl>
    <w:lvl w:ilvl="3">
      <w:start w:val="1"/>
      <w:numFmt w:val="bullet"/>
      <w:isLgl w:val="false"/>
      <w:suff w:val="tab"/>
      <w:lvlText w:val="o"/>
      <w:lvlJc w:val="left"/>
      <w:pPr>
        <w:ind w:left="2869" w:hanging="360"/>
      </w:pPr>
      <w:rPr>
        <w:rFonts w:hint="default" w:ascii="Courier New" w:hAnsi="Courier New" w:eastAsia="Courier New" w:cs="Courier New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eastAsia="Courier New" w:cs="Courier New"/>
      </w:rPr>
    </w:lvl>
    <w:lvl w:ilvl="6">
      <w:start w:val="1"/>
      <w:numFmt w:val="bullet"/>
      <w:isLgl w:val="false"/>
      <w:suff w:val="tab"/>
      <w:lvlText w:val="o"/>
      <w:lvlJc w:val="left"/>
      <w:pPr>
        <w:ind w:left="5029" w:hanging="360"/>
      </w:pPr>
      <w:rPr>
        <w:rFonts w:hint="default" w:ascii="Courier New" w:hAnsi="Courier New" w:eastAsia="Courier New" w:cs="Courier New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eastAsia="Courier New" w:cs="Courier New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00000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o"/>
      <w:lvlJc w:val="left"/>
      <w:pPr>
        <w:ind w:left="709" w:hanging="360"/>
      </w:pPr>
      <w:rPr>
        <w:rFonts w:hint="default" w:ascii="Courier New" w:hAnsi="Courier New" w:eastAsia="Courier New" w:cs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eastAsia="Courier New" w:cs="Courier New"/>
      </w:rPr>
    </w:lvl>
    <w:lvl w:ilvl="3">
      <w:start w:val="1"/>
      <w:numFmt w:val="bullet"/>
      <w:isLgl w:val="false"/>
      <w:suff w:val="tab"/>
      <w:lvlText w:val="o"/>
      <w:lvlJc w:val="left"/>
      <w:pPr>
        <w:ind w:left="2869" w:hanging="360"/>
      </w:pPr>
      <w:rPr>
        <w:rFonts w:hint="default" w:ascii="Courier New" w:hAnsi="Courier New" w:eastAsia="Courier New" w:cs="Courier New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eastAsia="Courier New" w:cs="Courier New"/>
      </w:rPr>
    </w:lvl>
    <w:lvl w:ilvl="6">
      <w:start w:val="1"/>
      <w:numFmt w:val="bullet"/>
      <w:isLgl w:val="false"/>
      <w:suff w:val="tab"/>
      <w:lvlText w:val="o"/>
      <w:lvlJc w:val="left"/>
      <w:pPr>
        <w:ind w:left="5029" w:hanging="360"/>
      </w:pPr>
      <w:rPr>
        <w:rFonts w:hint="default" w:ascii="Courier New" w:hAnsi="Courier New" w:eastAsia="Courier New" w:cs="Courier New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eastAsia="Courier New" w:cs="Courier New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0">
    <w:name w:val="Heading 1"/>
    <w:basedOn w:val="848"/>
    <w:next w:val="848"/>
    <w:link w:val="67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1">
    <w:name w:val="Heading 1 Char"/>
    <w:basedOn w:val="849"/>
    <w:link w:val="670"/>
    <w:uiPriority w:val="9"/>
    <w:rPr>
      <w:rFonts w:ascii="Arial" w:hAnsi="Arial" w:eastAsia="Arial" w:cs="Arial"/>
      <w:sz w:val="40"/>
      <w:szCs w:val="40"/>
    </w:rPr>
  </w:style>
  <w:style w:type="paragraph" w:styleId="672">
    <w:name w:val="Heading 2"/>
    <w:basedOn w:val="848"/>
    <w:next w:val="848"/>
    <w:link w:val="67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3">
    <w:name w:val="Heading 2 Char"/>
    <w:basedOn w:val="849"/>
    <w:link w:val="672"/>
    <w:uiPriority w:val="9"/>
    <w:rPr>
      <w:rFonts w:ascii="Arial" w:hAnsi="Arial" w:eastAsia="Arial" w:cs="Arial"/>
      <w:sz w:val="34"/>
    </w:rPr>
  </w:style>
  <w:style w:type="paragraph" w:styleId="674">
    <w:name w:val="Heading 3"/>
    <w:basedOn w:val="848"/>
    <w:next w:val="848"/>
    <w:link w:val="67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5">
    <w:name w:val="Heading 3 Char"/>
    <w:basedOn w:val="849"/>
    <w:link w:val="674"/>
    <w:uiPriority w:val="9"/>
    <w:rPr>
      <w:rFonts w:ascii="Arial" w:hAnsi="Arial" w:eastAsia="Arial" w:cs="Arial"/>
      <w:sz w:val="30"/>
      <w:szCs w:val="30"/>
    </w:rPr>
  </w:style>
  <w:style w:type="paragraph" w:styleId="676">
    <w:name w:val="Heading 4"/>
    <w:basedOn w:val="848"/>
    <w:next w:val="848"/>
    <w:link w:val="67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7">
    <w:name w:val="Heading 4 Char"/>
    <w:basedOn w:val="849"/>
    <w:link w:val="676"/>
    <w:uiPriority w:val="9"/>
    <w:rPr>
      <w:rFonts w:ascii="Arial" w:hAnsi="Arial" w:eastAsia="Arial" w:cs="Arial"/>
      <w:b/>
      <w:bCs/>
      <w:sz w:val="26"/>
      <w:szCs w:val="26"/>
    </w:rPr>
  </w:style>
  <w:style w:type="paragraph" w:styleId="678">
    <w:name w:val="Heading 5"/>
    <w:basedOn w:val="848"/>
    <w:next w:val="848"/>
    <w:link w:val="67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9">
    <w:name w:val="Heading 5 Char"/>
    <w:basedOn w:val="849"/>
    <w:link w:val="678"/>
    <w:uiPriority w:val="9"/>
    <w:rPr>
      <w:rFonts w:ascii="Arial" w:hAnsi="Arial" w:eastAsia="Arial" w:cs="Arial"/>
      <w:b/>
      <w:bCs/>
      <w:sz w:val="24"/>
      <w:szCs w:val="24"/>
    </w:rPr>
  </w:style>
  <w:style w:type="paragraph" w:styleId="680">
    <w:name w:val="Heading 6"/>
    <w:basedOn w:val="848"/>
    <w:next w:val="848"/>
    <w:link w:val="68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1">
    <w:name w:val="Heading 6 Char"/>
    <w:basedOn w:val="849"/>
    <w:link w:val="680"/>
    <w:uiPriority w:val="9"/>
    <w:rPr>
      <w:rFonts w:ascii="Arial" w:hAnsi="Arial" w:eastAsia="Arial" w:cs="Arial"/>
      <w:b/>
      <w:bCs/>
      <w:sz w:val="22"/>
      <w:szCs w:val="22"/>
    </w:rPr>
  </w:style>
  <w:style w:type="paragraph" w:styleId="682">
    <w:name w:val="Heading 7"/>
    <w:basedOn w:val="848"/>
    <w:next w:val="848"/>
    <w:link w:val="68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3">
    <w:name w:val="Heading 7 Char"/>
    <w:basedOn w:val="849"/>
    <w:link w:val="68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4">
    <w:name w:val="Heading 8"/>
    <w:basedOn w:val="848"/>
    <w:next w:val="848"/>
    <w:link w:val="68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5">
    <w:name w:val="Heading 8 Char"/>
    <w:basedOn w:val="849"/>
    <w:link w:val="684"/>
    <w:uiPriority w:val="9"/>
    <w:rPr>
      <w:rFonts w:ascii="Arial" w:hAnsi="Arial" w:eastAsia="Arial" w:cs="Arial"/>
      <w:i/>
      <w:iCs/>
      <w:sz w:val="22"/>
      <w:szCs w:val="22"/>
    </w:rPr>
  </w:style>
  <w:style w:type="paragraph" w:styleId="686">
    <w:name w:val="Heading 9"/>
    <w:basedOn w:val="848"/>
    <w:next w:val="848"/>
    <w:link w:val="68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7">
    <w:name w:val="Heading 9 Char"/>
    <w:basedOn w:val="849"/>
    <w:link w:val="686"/>
    <w:uiPriority w:val="9"/>
    <w:rPr>
      <w:rFonts w:ascii="Arial" w:hAnsi="Arial" w:eastAsia="Arial" w:cs="Arial"/>
      <w:i/>
      <w:iCs/>
      <w:sz w:val="21"/>
      <w:szCs w:val="21"/>
    </w:rPr>
  </w:style>
  <w:style w:type="paragraph" w:styleId="688">
    <w:name w:val="List Paragraph"/>
    <w:basedOn w:val="848"/>
    <w:uiPriority w:val="34"/>
    <w:qFormat/>
    <w:pPr>
      <w:contextualSpacing/>
      <w:ind w:left="720"/>
    </w:pPr>
  </w:style>
  <w:style w:type="paragraph" w:styleId="689">
    <w:name w:val="No Spacing"/>
    <w:uiPriority w:val="1"/>
    <w:qFormat/>
    <w:pPr>
      <w:spacing w:before="0" w:after="0" w:line="240" w:lineRule="auto"/>
    </w:pPr>
  </w:style>
  <w:style w:type="paragraph" w:styleId="690">
    <w:name w:val="Title"/>
    <w:basedOn w:val="848"/>
    <w:next w:val="848"/>
    <w:link w:val="69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1">
    <w:name w:val="Title Char"/>
    <w:basedOn w:val="849"/>
    <w:link w:val="690"/>
    <w:uiPriority w:val="10"/>
    <w:rPr>
      <w:sz w:val="48"/>
      <w:szCs w:val="48"/>
    </w:rPr>
  </w:style>
  <w:style w:type="paragraph" w:styleId="692">
    <w:name w:val="Subtitle"/>
    <w:basedOn w:val="848"/>
    <w:next w:val="848"/>
    <w:link w:val="693"/>
    <w:uiPriority w:val="11"/>
    <w:qFormat/>
    <w:pPr>
      <w:spacing w:before="200" w:after="200"/>
    </w:pPr>
    <w:rPr>
      <w:sz w:val="24"/>
      <w:szCs w:val="24"/>
    </w:rPr>
  </w:style>
  <w:style w:type="character" w:styleId="693">
    <w:name w:val="Subtitle Char"/>
    <w:basedOn w:val="849"/>
    <w:link w:val="692"/>
    <w:uiPriority w:val="11"/>
    <w:rPr>
      <w:sz w:val="24"/>
      <w:szCs w:val="24"/>
    </w:rPr>
  </w:style>
  <w:style w:type="paragraph" w:styleId="694">
    <w:name w:val="Quote"/>
    <w:basedOn w:val="848"/>
    <w:next w:val="848"/>
    <w:link w:val="695"/>
    <w:uiPriority w:val="29"/>
    <w:qFormat/>
    <w:pPr>
      <w:ind w:left="720" w:right="720"/>
    </w:pPr>
    <w:rPr>
      <w:i/>
    </w:rPr>
  </w:style>
  <w:style w:type="character" w:styleId="695">
    <w:name w:val="Quote Char"/>
    <w:link w:val="694"/>
    <w:uiPriority w:val="29"/>
    <w:rPr>
      <w:i/>
    </w:rPr>
  </w:style>
  <w:style w:type="paragraph" w:styleId="696">
    <w:name w:val="Intense Quote"/>
    <w:basedOn w:val="848"/>
    <w:next w:val="848"/>
    <w:link w:val="69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7">
    <w:name w:val="Intense Quote Char"/>
    <w:link w:val="696"/>
    <w:uiPriority w:val="30"/>
    <w:rPr>
      <w:i/>
    </w:rPr>
  </w:style>
  <w:style w:type="paragraph" w:styleId="698">
    <w:name w:val="Header"/>
    <w:basedOn w:val="848"/>
    <w:link w:val="69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9">
    <w:name w:val="Header Char"/>
    <w:basedOn w:val="849"/>
    <w:link w:val="698"/>
    <w:uiPriority w:val="99"/>
  </w:style>
  <w:style w:type="paragraph" w:styleId="700">
    <w:name w:val="Footer"/>
    <w:basedOn w:val="848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1">
    <w:name w:val="Footer Char"/>
    <w:basedOn w:val="849"/>
    <w:link w:val="700"/>
    <w:uiPriority w:val="99"/>
  </w:style>
  <w:style w:type="paragraph" w:styleId="702">
    <w:name w:val="Caption"/>
    <w:basedOn w:val="848"/>
    <w:next w:val="8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3">
    <w:name w:val="Caption Char"/>
    <w:basedOn w:val="702"/>
    <w:link w:val="700"/>
    <w:uiPriority w:val="99"/>
  </w:style>
  <w:style w:type="table" w:styleId="704">
    <w:name w:val="Table Grid"/>
    <w:basedOn w:val="85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5">
    <w:name w:val="Table Grid Light"/>
    <w:basedOn w:val="85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6">
    <w:name w:val="Plain Table 1"/>
    <w:basedOn w:val="85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7">
    <w:name w:val="Plain Table 2"/>
    <w:basedOn w:val="85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8">
    <w:name w:val="Plain Table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9">
    <w:name w:val="Plain Table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Plain Table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1">
    <w:name w:val="Grid Table 1 Light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4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3">
    <w:name w:val="Grid Table 4 - Accent 1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4">
    <w:name w:val="Grid Table 4 - Accent 2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5">
    <w:name w:val="Grid Table 4 - Accent 3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6">
    <w:name w:val="Grid Table 4 - Accent 4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7">
    <w:name w:val="Grid Table 4 - Accent 5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8">
    <w:name w:val="Grid Table 4 - Accent 6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9">
    <w:name w:val="Grid Table 5 Dark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0">
    <w:name w:val="Grid Table 5 Dark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1">
    <w:name w:val="Grid Table 5 Dark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2">
    <w:name w:val="Grid Table 5 Dark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3">
    <w:name w:val="Grid Table 5 Dark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6">
    <w:name w:val="Grid Table 6 Colorful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7">
    <w:name w:val="Grid Table 6 Colorful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8">
    <w:name w:val="Grid Table 6 Colorful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9">
    <w:name w:val="Grid Table 6 Colorful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0">
    <w:name w:val="Grid Table 6 Colorful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1">
    <w:name w:val="Grid Table 6 Colorful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2">
    <w:name w:val="Grid Table 6 Colorful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3">
    <w:name w:val="Grid Table 7 Colorful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8">
    <w:name w:val="List Table 2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9">
    <w:name w:val="List Table 2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0">
    <w:name w:val="List Table 2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1">
    <w:name w:val="List Table 2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2">
    <w:name w:val="List Table 2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3">
    <w:name w:val="List Table 2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4">
    <w:name w:val="List Table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5 Dark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6 Colorful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6">
    <w:name w:val="List Table 6 Colorful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7">
    <w:name w:val="List Table 6 Colorful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8">
    <w:name w:val="List Table 6 Colorful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9">
    <w:name w:val="List Table 6 Colorful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0">
    <w:name w:val="List Table 6 Colorful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1">
    <w:name w:val="List Table 6 Colorful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2">
    <w:name w:val="List Table 7 Colorful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3">
    <w:name w:val="List Table 7 Colorful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4">
    <w:name w:val="List Table 7 Colorful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5">
    <w:name w:val="List Table 7 Colorful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06">
    <w:name w:val="List Table 7 Colorful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7">
    <w:name w:val="List Table 7 Colorful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8">
    <w:name w:val="List Table 7 Colorful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9">
    <w:name w:val="Lined - Accent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0">
    <w:name w:val="Lined - Accent 1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1">
    <w:name w:val="Lined - Accent 2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2">
    <w:name w:val="Lined - Accent 3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3">
    <w:name w:val="Lined - Accent 4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4">
    <w:name w:val="Lined - Accent 5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5">
    <w:name w:val="Lined - Accent 6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6">
    <w:name w:val="Bordered &amp; Lined - Accent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7">
    <w:name w:val="Bordered &amp; Lined - Accent 1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8">
    <w:name w:val="Bordered &amp; Lined - Accent 2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9">
    <w:name w:val="Bordered &amp; Lined - Accent 3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0">
    <w:name w:val="Bordered &amp; Lined - Accent 4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1">
    <w:name w:val="Bordered &amp; Lined - Accent 5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2">
    <w:name w:val="Bordered &amp; Lined - Accent 6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3">
    <w:name w:val="Bordered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4">
    <w:name w:val="Bordered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5">
    <w:name w:val="Bordered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6">
    <w:name w:val="Bordered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7">
    <w:name w:val="Bordered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8">
    <w:name w:val="Bordered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9">
    <w:name w:val="Bordered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0">
    <w:name w:val="Hyperlink"/>
    <w:uiPriority w:val="99"/>
    <w:unhideWhenUsed/>
    <w:rPr>
      <w:color w:val="0000ff" w:themeColor="hyperlink"/>
      <w:u w:val="single"/>
    </w:rPr>
  </w:style>
  <w:style w:type="paragraph" w:styleId="831">
    <w:name w:val="footnote text"/>
    <w:basedOn w:val="848"/>
    <w:link w:val="832"/>
    <w:uiPriority w:val="99"/>
    <w:semiHidden/>
    <w:unhideWhenUsed/>
    <w:pPr>
      <w:spacing w:after="40" w:line="240" w:lineRule="auto"/>
    </w:pPr>
    <w:rPr>
      <w:sz w:val="18"/>
    </w:rPr>
  </w:style>
  <w:style w:type="character" w:styleId="832">
    <w:name w:val="Footnote Text Char"/>
    <w:link w:val="831"/>
    <w:uiPriority w:val="99"/>
    <w:rPr>
      <w:sz w:val="18"/>
    </w:rPr>
  </w:style>
  <w:style w:type="character" w:styleId="833">
    <w:name w:val="footnote reference"/>
    <w:basedOn w:val="849"/>
    <w:uiPriority w:val="99"/>
    <w:unhideWhenUsed/>
    <w:rPr>
      <w:vertAlign w:val="superscript"/>
    </w:rPr>
  </w:style>
  <w:style w:type="paragraph" w:styleId="834">
    <w:name w:val="endnote text"/>
    <w:basedOn w:val="848"/>
    <w:link w:val="835"/>
    <w:uiPriority w:val="99"/>
    <w:semiHidden/>
    <w:unhideWhenUsed/>
    <w:pPr>
      <w:spacing w:after="0" w:line="240" w:lineRule="auto"/>
    </w:pPr>
    <w:rPr>
      <w:sz w:val="20"/>
    </w:rPr>
  </w:style>
  <w:style w:type="character" w:styleId="835">
    <w:name w:val="Endnote Text Char"/>
    <w:link w:val="834"/>
    <w:uiPriority w:val="99"/>
    <w:rPr>
      <w:sz w:val="20"/>
    </w:rPr>
  </w:style>
  <w:style w:type="character" w:styleId="836">
    <w:name w:val="endnote reference"/>
    <w:basedOn w:val="849"/>
    <w:uiPriority w:val="99"/>
    <w:semiHidden/>
    <w:unhideWhenUsed/>
    <w:rPr>
      <w:vertAlign w:val="superscript"/>
    </w:rPr>
  </w:style>
  <w:style w:type="paragraph" w:styleId="837">
    <w:name w:val="toc 1"/>
    <w:basedOn w:val="848"/>
    <w:next w:val="848"/>
    <w:uiPriority w:val="39"/>
    <w:unhideWhenUsed/>
    <w:pPr>
      <w:ind w:left="0" w:right="0" w:firstLine="0"/>
      <w:spacing w:after="57"/>
    </w:pPr>
  </w:style>
  <w:style w:type="paragraph" w:styleId="838">
    <w:name w:val="toc 2"/>
    <w:basedOn w:val="848"/>
    <w:next w:val="848"/>
    <w:uiPriority w:val="39"/>
    <w:unhideWhenUsed/>
    <w:pPr>
      <w:ind w:left="283" w:right="0" w:firstLine="0"/>
      <w:spacing w:after="57"/>
    </w:pPr>
  </w:style>
  <w:style w:type="paragraph" w:styleId="839">
    <w:name w:val="toc 3"/>
    <w:basedOn w:val="848"/>
    <w:next w:val="848"/>
    <w:uiPriority w:val="39"/>
    <w:unhideWhenUsed/>
    <w:pPr>
      <w:ind w:left="567" w:right="0" w:firstLine="0"/>
      <w:spacing w:after="57"/>
    </w:pPr>
  </w:style>
  <w:style w:type="paragraph" w:styleId="840">
    <w:name w:val="toc 4"/>
    <w:basedOn w:val="848"/>
    <w:next w:val="848"/>
    <w:uiPriority w:val="39"/>
    <w:unhideWhenUsed/>
    <w:pPr>
      <w:ind w:left="850" w:right="0" w:firstLine="0"/>
      <w:spacing w:after="57"/>
    </w:pPr>
  </w:style>
  <w:style w:type="paragraph" w:styleId="841">
    <w:name w:val="toc 5"/>
    <w:basedOn w:val="848"/>
    <w:next w:val="848"/>
    <w:uiPriority w:val="39"/>
    <w:unhideWhenUsed/>
    <w:pPr>
      <w:ind w:left="1134" w:right="0" w:firstLine="0"/>
      <w:spacing w:after="57"/>
    </w:pPr>
  </w:style>
  <w:style w:type="paragraph" w:styleId="842">
    <w:name w:val="toc 6"/>
    <w:basedOn w:val="848"/>
    <w:next w:val="848"/>
    <w:uiPriority w:val="39"/>
    <w:unhideWhenUsed/>
    <w:pPr>
      <w:ind w:left="1417" w:right="0" w:firstLine="0"/>
      <w:spacing w:after="57"/>
    </w:pPr>
  </w:style>
  <w:style w:type="paragraph" w:styleId="843">
    <w:name w:val="toc 7"/>
    <w:basedOn w:val="848"/>
    <w:next w:val="848"/>
    <w:uiPriority w:val="39"/>
    <w:unhideWhenUsed/>
    <w:pPr>
      <w:ind w:left="1701" w:right="0" w:firstLine="0"/>
      <w:spacing w:after="57"/>
    </w:pPr>
  </w:style>
  <w:style w:type="paragraph" w:styleId="844">
    <w:name w:val="toc 8"/>
    <w:basedOn w:val="848"/>
    <w:next w:val="848"/>
    <w:uiPriority w:val="39"/>
    <w:unhideWhenUsed/>
    <w:pPr>
      <w:ind w:left="1984" w:right="0" w:firstLine="0"/>
      <w:spacing w:after="57"/>
    </w:pPr>
  </w:style>
  <w:style w:type="paragraph" w:styleId="845">
    <w:name w:val="toc 9"/>
    <w:basedOn w:val="848"/>
    <w:next w:val="848"/>
    <w:uiPriority w:val="39"/>
    <w:unhideWhenUsed/>
    <w:pPr>
      <w:ind w:left="2268" w:right="0" w:firstLine="0"/>
      <w:spacing w:after="57"/>
    </w:pPr>
  </w:style>
  <w:style w:type="paragraph" w:styleId="846">
    <w:name w:val="TOC Heading"/>
    <w:uiPriority w:val="39"/>
    <w:unhideWhenUsed/>
  </w:style>
  <w:style w:type="paragraph" w:styleId="847">
    <w:name w:val="table of figures"/>
    <w:basedOn w:val="848"/>
    <w:next w:val="848"/>
    <w:uiPriority w:val="99"/>
    <w:unhideWhenUsed/>
    <w:pPr>
      <w:spacing w:after="0" w:afterAutospacing="0"/>
    </w:pPr>
  </w:style>
  <w:style w:type="paragraph" w:styleId="848" w:default="1">
    <w:name w:val="Normal"/>
    <w:qFormat/>
  </w:style>
  <w:style w:type="character" w:styleId="849" w:default="1">
    <w:name w:val="Default Paragraph Font"/>
    <w:uiPriority w:val="1"/>
    <w:semiHidden/>
    <w:unhideWhenUsed/>
  </w:style>
  <w:style w:type="table" w:styleId="85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1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reg.samregistr.ru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revision>18</cp:revision>
  <dcterms:created xsi:type="dcterms:W3CDTF">2024-06-20T09:57:00Z</dcterms:created>
  <dcterms:modified xsi:type="dcterms:W3CDTF">2026-05-28T12:07:06Z</dcterms:modified>
</cp:coreProperties>
</file>